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4"/>
        <w:ind w:left="170"/>
        <w:rPr>
          <w:rFonts w:ascii="黑体" w:eastAsia="黑体"/>
        </w:rPr>
      </w:pPr>
      <w:r>
        <w:rPr/>
        <w:drawing>
          <wp:anchor distT="0" distB="0" distL="0" distR="0" allowOverlap="1" layoutInCell="1" locked="0" behindDoc="0" simplePos="0" relativeHeight="15729664">
            <wp:simplePos x="0" y="0"/>
            <wp:positionH relativeFrom="page">
              <wp:posOffset>5004815</wp:posOffset>
            </wp:positionH>
            <wp:positionV relativeFrom="paragraph">
              <wp:posOffset>149767</wp:posOffset>
            </wp:positionV>
            <wp:extent cx="1438275" cy="723523"/>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438275" cy="723523"/>
                    </a:xfrm>
                    <a:prstGeom prst="rect">
                      <a:avLst/>
                    </a:prstGeom>
                  </pic:spPr>
                </pic:pic>
              </a:graphicData>
            </a:graphic>
          </wp:anchor>
        </w:drawing>
      </w:r>
      <w:r>
        <w:rPr>
          <w:rFonts w:ascii="Times New Roman" w:eastAsia="Times New Roman"/>
          <w:position w:val="2"/>
        </w:rPr>
        <w:t>ICS</w:t>
      </w:r>
      <w:r>
        <w:rPr>
          <w:rFonts w:ascii="Times New Roman" w:eastAsia="Times New Roman"/>
          <w:spacing w:val="31"/>
          <w:position w:val="2"/>
        </w:rPr>
        <w:t>  </w:t>
      </w:r>
      <w:r>
        <w:rPr>
          <w:rFonts w:ascii="黑体" w:eastAsia="黑体"/>
          <w:spacing w:val="-8"/>
        </w:rPr>
        <w:t>点击此处添加 </w:t>
      </w:r>
      <w:r>
        <w:rPr>
          <w:rFonts w:ascii="黑体" w:eastAsia="黑体"/>
        </w:rPr>
        <w:t>ICS</w:t>
      </w:r>
      <w:r>
        <w:rPr>
          <w:rFonts w:ascii="黑体" w:eastAsia="黑体"/>
          <w:spacing w:val="-33"/>
        </w:rPr>
        <w:t> 号</w:t>
      </w:r>
    </w:p>
    <w:p>
      <w:pPr>
        <w:pStyle w:val="BodyText"/>
        <w:spacing w:before="37"/>
        <w:ind w:left="170"/>
        <w:rPr>
          <w:rFonts w:ascii="黑体" w:eastAsia="黑体"/>
        </w:rPr>
      </w:pPr>
      <w:r>
        <w:rPr>
          <w:rFonts w:ascii="Times New Roman" w:eastAsia="Times New Roman"/>
          <w:position w:val="2"/>
        </w:rPr>
        <w:t>CCS</w:t>
      </w:r>
      <w:r>
        <w:rPr>
          <w:rFonts w:ascii="Times New Roman" w:eastAsia="Times New Roman"/>
          <w:spacing w:val="42"/>
          <w:position w:val="2"/>
        </w:rPr>
        <w:t> </w:t>
      </w:r>
      <w:r>
        <w:rPr>
          <w:rFonts w:ascii="黑体" w:eastAsia="黑体"/>
          <w:spacing w:val="-8"/>
        </w:rPr>
        <w:t>点击此处添加 </w:t>
      </w:r>
      <w:r>
        <w:rPr>
          <w:rFonts w:ascii="黑体" w:eastAsia="黑体"/>
        </w:rPr>
        <w:t>CCS</w:t>
      </w:r>
      <w:r>
        <w:rPr>
          <w:rFonts w:ascii="黑体" w:eastAsia="黑体"/>
          <w:spacing w:val="-32"/>
        </w:rPr>
        <w:t> 号</w:t>
      </w: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6"/>
        <w:rPr>
          <w:rFonts w:ascii="黑体"/>
          <w:sz w:val="25"/>
        </w:rPr>
      </w:pPr>
    </w:p>
    <w:p>
      <w:pPr>
        <w:pStyle w:val="Title"/>
      </w:pPr>
      <w:r>
        <w:rPr>
          <w:spacing w:val="114"/>
          <w:w w:val="145"/>
        </w:rPr>
        <w:t>中华人民</w:t>
      </w:r>
      <w:r>
        <w:rPr>
          <w:spacing w:val="114"/>
          <w:w w:val="145"/>
        </w:rPr>
        <w:t>共</w:t>
      </w:r>
      <w:r>
        <w:rPr>
          <w:spacing w:val="114"/>
          <w:w w:val="145"/>
        </w:rPr>
        <w:t>和</w:t>
      </w:r>
      <w:r>
        <w:rPr>
          <w:spacing w:val="116"/>
          <w:w w:val="145"/>
        </w:rPr>
        <w:t>国</w:t>
      </w:r>
      <w:r>
        <w:rPr>
          <w:spacing w:val="114"/>
          <w:w w:val="145"/>
        </w:rPr>
        <w:t>国</w:t>
      </w:r>
      <w:r>
        <w:rPr>
          <w:spacing w:val="114"/>
          <w:w w:val="145"/>
        </w:rPr>
        <w:t>家</w:t>
      </w:r>
      <w:r>
        <w:rPr>
          <w:spacing w:val="53"/>
          <w:w w:val="145"/>
        </w:rPr>
        <w:t>标准</w:t>
      </w:r>
    </w:p>
    <w:p>
      <w:pPr>
        <w:spacing w:before="289"/>
        <w:ind w:left="0" w:right="411" w:firstLine="0"/>
        <w:jc w:val="right"/>
        <w:rPr>
          <w:rFonts w:ascii="黑体" w:hAnsi="黑体"/>
          <w:sz w:val="28"/>
        </w:rPr>
      </w:pPr>
      <w:r>
        <w:rPr>
          <w:rFonts w:ascii="黑体" w:hAnsi="黑体"/>
          <w:sz w:val="28"/>
        </w:rPr>
        <w:t>GB/T</w:t>
      </w:r>
      <w:r>
        <w:rPr>
          <w:rFonts w:ascii="黑体" w:hAnsi="黑体"/>
          <w:spacing w:val="-12"/>
          <w:sz w:val="28"/>
        </w:rPr>
        <w:t> </w:t>
      </w:r>
      <w:r>
        <w:rPr>
          <w:rFonts w:ascii="黑体" w:hAnsi="黑体"/>
          <w:sz w:val="28"/>
        </w:rPr>
        <w:t>XXXXX—</w:t>
      </w:r>
      <w:r>
        <w:rPr>
          <w:rFonts w:ascii="黑体" w:hAnsi="黑体"/>
          <w:spacing w:val="-4"/>
          <w:sz w:val="28"/>
        </w:rPr>
        <w:t>XXXX</w:t>
      </w:r>
    </w:p>
    <w:p>
      <w:pPr>
        <w:pStyle w:val="BodyText"/>
        <w:rPr>
          <w:rFonts w:ascii="黑体"/>
          <w:sz w:val="20"/>
        </w:rPr>
      </w:pPr>
    </w:p>
    <w:p>
      <w:pPr>
        <w:pStyle w:val="BodyText"/>
        <w:spacing w:before="7"/>
        <w:rPr>
          <w:rFonts w:ascii="黑体"/>
          <w:sz w:val="17"/>
        </w:rPr>
      </w:pPr>
    </w:p>
    <w:p>
      <w:pPr>
        <w:spacing w:before="62"/>
        <w:ind w:left="218" w:right="0" w:firstLine="0"/>
        <w:jc w:val="left"/>
        <w:rPr>
          <w:sz w:val="28"/>
        </w:rPr>
      </w:pPr>
      <w:r>
        <w:rPr/>
        <w:pict>
          <v:rect style="position:absolute;margin-left:70.900002pt;margin-top:8.884974pt;width:481.9pt;height:.75pt;mso-position-horizontal-relative:page;mso-position-vertical-relative:paragraph;z-index:-16151040" id="docshape1" filled="true" fillcolor="#000000" stroked="false">
            <v:fill type="solid"/>
            <w10:wrap type="none"/>
          </v:rect>
        </w:pict>
      </w:r>
      <w:r>
        <w:rPr>
          <w:w w:val="100"/>
          <w:sz w:val="28"/>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64"/>
        <w:ind w:left="84" w:right="0" w:firstLine="0"/>
        <w:jc w:val="center"/>
        <w:rPr>
          <w:rFonts w:ascii="黑体" w:eastAsia="黑体"/>
          <w:sz w:val="52"/>
        </w:rPr>
      </w:pPr>
      <w:r>
        <w:rPr>
          <w:rFonts w:ascii="黑体" w:eastAsia="黑体"/>
          <w:spacing w:val="-3"/>
          <w:sz w:val="52"/>
        </w:rPr>
        <w:t>外卖平台服务管理基本要求</w:t>
      </w:r>
    </w:p>
    <w:p>
      <w:pPr>
        <w:spacing w:before="391"/>
        <w:ind w:left="86" w:right="0" w:firstLine="0"/>
        <w:jc w:val="center"/>
        <w:rPr>
          <w:rFonts w:ascii="Times New Roman"/>
          <w:sz w:val="28"/>
        </w:rPr>
      </w:pPr>
      <w:r>
        <w:rPr>
          <w:rFonts w:ascii="Times New Roman"/>
          <w:sz w:val="28"/>
        </w:rPr>
        <w:t>Basic</w:t>
      </w:r>
      <w:r>
        <w:rPr>
          <w:rFonts w:ascii="Times New Roman"/>
          <w:spacing w:val="-8"/>
          <w:sz w:val="28"/>
        </w:rPr>
        <w:t> </w:t>
      </w:r>
      <w:r>
        <w:rPr>
          <w:rFonts w:ascii="Times New Roman"/>
          <w:sz w:val="28"/>
        </w:rPr>
        <w:t>requirements</w:t>
      </w:r>
      <w:r>
        <w:rPr>
          <w:rFonts w:ascii="Times New Roman"/>
          <w:spacing w:val="-5"/>
          <w:sz w:val="28"/>
        </w:rPr>
        <w:t> </w:t>
      </w:r>
      <w:r>
        <w:rPr>
          <w:rFonts w:ascii="Times New Roman"/>
          <w:sz w:val="28"/>
        </w:rPr>
        <w:t>for</w:t>
      </w:r>
      <w:r>
        <w:rPr>
          <w:rFonts w:ascii="Times New Roman"/>
          <w:spacing w:val="-6"/>
          <w:sz w:val="28"/>
        </w:rPr>
        <w:t> </w:t>
      </w:r>
      <w:r>
        <w:rPr>
          <w:rFonts w:ascii="Times New Roman"/>
          <w:sz w:val="28"/>
        </w:rPr>
        <w:t>service</w:t>
      </w:r>
      <w:r>
        <w:rPr>
          <w:rFonts w:ascii="Times New Roman"/>
          <w:spacing w:val="-3"/>
          <w:sz w:val="28"/>
        </w:rPr>
        <w:t> </w:t>
      </w:r>
      <w:r>
        <w:rPr>
          <w:rFonts w:ascii="Times New Roman"/>
          <w:sz w:val="28"/>
        </w:rPr>
        <w:t>management</w:t>
      </w:r>
      <w:r>
        <w:rPr>
          <w:rFonts w:ascii="Times New Roman"/>
          <w:spacing w:val="-5"/>
          <w:sz w:val="28"/>
        </w:rPr>
        <w:t> </w:t>
      </w:r>
      <w:r>
        <w:rPr>
          <w:rFonts w:ascii="Times New Roman"/>
          <w:sz w:val="28"/>
        </w:rPr>
        <w:t>of</w:t>
      </w:r>
      <w:r>
        <w:rPr>
          <w:rFonts w:ascii="Times New Roman"/>
          <w:spacing w:val="-6"/>
          <w:sz w:val="28"/>
        </w:rPr>
        <w:t> </w:t>
      </w:r>
      <w:r>
        <w:rPr>
          <w:rFonts w:ascii="Times New Roman"/>
          <w:sz w:val="28"/>
        </w:rPr>
        <w:t>food</w:t>
      </w:r>
      <w:r>
        <w:rPr>
          <w:rFonts w:ascii="Times New Roman"/>
          <w:spacing w:val="-3"/>
          <w:sz w:val="28"/>
        </w:rPr>
        <w:t> </w:t>
      </w:r>
      <w:r>
        <w:rPr>
          <w:rFonts w:ascii="Times New Roman"/>
          <w:sz w:val="28"/>
        </w:rPr>
        <w:t>delivery</w:t>
      </w:r>
      <w:r>
        <w:rPr>
          <w:rFonts w:ascii="Times New Roman"/>
          <w:spacing w:val="-4"/>
          <w:sz w:val="28"/>
        </w:rPr>
        <w:t> </w:t>
      </w:r>
      <w:r>
        <w:rPr>
          <w:rFonts w:ascii="Times New Roman"/>
          <w:spacing w:val="-2"/>
          <w:sz w:val="28"/>
        </w:rPr>
        <w:t>platform</w:t>
      </w: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spacing w:before="245"/>
        <w:ind w:left="84" w:right="0" w:firstLine="0"/>
        <w:jc w:val="center"/>
        <w:rPr>
          <w:sz w:val="24"/>
        </w:rPr>
      </w:pPr>
      <w:r>
        <w:rPr>
          <w:sz w:val="24"/>
        </w:rPr>
        <w:t>（征求意见稿</w:t>
      </w:r>
      <w:r>
        <w:rPr>
          <w:spacing w:val="-10"/>
          <w:sz w:val="24"/>
        </w:rPr>
        <w:t>）</w:t>
      </w:r>
    </w:p>
    <w:p>
      <w:pPr>
        <w:pStyle w:val="BodyText"/>
        <w:spacing w:before="209"/>
        <w:ind w:left="84"/>
        <w:jc w:val="center"/>
      </w:pPr>
      <w:r>
        <w:rPr/>
        <w:t>（本草案完成时间：</w:t>
      </w:r>
      <w:r>
        <w:rPr>
          <w:rFonts w:ascii="Times New Roman" w:eastAsia="Times New Roman"/>
        </w:rPr>
        <w:t>2025</w:t>
      </w:r>
      <w:r>
        <w:rPr>
          <w:rFonts w:ascii="Times New Roman" w:eastAsia="Times New Roman"/>
          <w:spacing w:val="-14"/>
        </w:rPr>
        <w:t> </w:t>
      </w:r>
      <w:r>
        <w:rPr>
          <w:spacing w:val="-27"/>
        </w:rPr>
        <w:t>年 </w:t>
      </w:r>
      <w:r>
        <w:rPr>
          <w:rFonts w:ascii="Times New Roman" w:eastAsia="Times New Roman"/>
        </w:rPr>
        <w:t>9</w:t>
      </w:r>
      <w:r>
        <w:rPr>
          <w:rFonts w:ascii="Times New Roman" w:eastAsia="Times New Roman"/>
          <w:spacing w:val="-8"/>
        </w:rPr>
        <w:t> </w:t>
      </w:r>
      <w:r>
        <w:rPr>
          <w:spacing w:val="-27"/>
        </w:rPr>
        <w:t>月 </w:t>
      </w:r>
      <w:r>
        <w:rPr>
          <w:rFonts w:ascii="Times New Roman" w:eastAsia="Times New Roman"/>
        </w:rPr>
        <w:t>17</w:t>
      </w:r>
      <w:r>
        <w:rPr>
          <w:rFonts w:ascii="Times New Roman" w:eastAsia="Times New Roman"/>
          <w:spacing w:val="-4"/>
        </w:rPr>
        <w:t> </w:t>
      </w:r>
      <w:r>
        <w:rPr/>
        <w:t>日</w:t>
      </w:r>
      <w:r>
        <w:rPr>
          <w:spacing w:val="-10"/>
        </w:rPr>
        <w:t>）</w:t>
      </w:r>
    </w:p>
    <w:p>
      <w:pPr>
        <w:pStyle w:val="BodyText"/>
        <w:rPr>
          <w:sz w:val="22"/>
        </w:rPr>
      </w:pPr>
    </w:p>
    <w:p>
      <w:pPr>
        <w:pStyle w:val="BodyText"/>
        <w:rPr>
          <w:sz w:val="22"/>
        </w:rPr>
      </w:pPr>
    </w:p>
    <w:p>
      <w:pPr>
        <w:spacing w:before="159"/>
        <w:ind w:left="84" w:right="0" w:firstLine="0"/>
        <w:jc w:val="center"/>
        <w:rPr>
          <w:b/>
          <w:sz w:val="21"/>
        </w:rPr>
      </w:pPr>
      <w:r>
        <w:rPr>
          <w:b/>
          <w:w w:val="95"/>
          <w:sz w:val="21"/>
        </w:rPr>
        <w:t>在</w:t>
      </w:r>
      <w:r>
        <w:rPr>
          <w:b/>
          <w:w w:val="95"/>
          <w:sz w:val="21"/>
        </w:rPr>
        <w:t>提</w:t>
      </w:r>
      <w:r>
        <w:rPr>
          <w:b/>
          <w:w w:val="95"/>
          <w:sz w:val="21"/>
        </w:rPr>
        <w:t>交</w:t>
      </w:r>
      <w:r>
        <w:rPr>
          <w:b/>
          <w:w w:val="95"/>
          <w:sz w:val="21"/>
        </w:rPr>
        <w:t>反</w:t>
      </w:r>
      <w:r>
        <w:rPr>
          <w:b/>
          <w:w w:val="95"/>
          <w:sz w:val="21"/>
        </w:rPr>
        <w:t>馈</w:t>
      </w:r>
      <w:r>
        <w:rPr>
          <w:b/>
          <w:w w:val="95"/>
          <w:sz w:val="21"/>
        </w:rPr>
        <w:t>意</w:t>
      </w:r>
      <w:r>
        <w:rPr>
          <w:b/>
          <w:w w:val="95"/>
          <w:sz w:val="21"/>
        </w:rPr>
        <w:t>见</w:t>
      </w:r>
      <w:r>
        <w:rPr>
          <w:b/>
          <w:w w:val="95"/>
          <w:sz w:val="21"/>
        </w:rPr>
        <w:t>时</w:t>
      </w:r>
      <w:r>
        <w:rPr>
          <w:b/>
          <w:w w:val="95"/>
          <w:sz w:val="21"/>
        </w:rPr>
        <w:t>，请</w:t>
      </w:r>
      <w:r>
        <w:rPr>
          <w:b/>
          <w:w w:val="95"/>
          <w:sz w:val="21"/>
        </w:rPr>
        <w:t>将</w:t>
      </w:r>
      <w:r>
        <w:rPr>
          <w:b/>
          <w:w w:val="95"/>
          <w:sz w:val="21"/>
        </w:rPr>
        <w:t>您</w:t>
      </w:r>
      <w:r>
        <w:rPr>
          <w:b/>
          <w:w w:val="95"/>
          <w:sz w:val="21"/>
        </w:rPr>
        <w:t>知</w:t>
      </w:r>
      <w:r>
        <w:rPr>
          <w:b/>
          <w:w w:val="95"/>
          <w:sz w:val="21"/>
        </w:rPr>
        <w:t>道</w:t>
      </w:r>
      <w:r>
        <w:rPr>
          <w:b/>
          <w:w w:val="95"/>
          <w:sz w:val="21"/>
        </w:rPr>
        <w:t>的</w:t>
      </w:r>
      <w:r>
        <w:rPr>
          <w:b/>
          <w:w w:val="95"/>
          <w:sz w:val="21"/>
        </w:rPr>
        <w:t>相</w:t>
      </w:r>
      <w:r>
        <w:rPr>
          <w:b/>
          <w:w w:val="95"/>
          <w:sz w:val="21"/>
        </w:rPr>
        <w:t>关</w:t>
      </w:r>
      <w:r>
        <w:rPr>
          <w:b/>
          <w:w w:val="95"/>
          <w:sz w:val="21"/>
        </w:rPr>
        <w:t>专</w:t>
      </w:r>
      <w:r>
        <w:rPr>
          <w:b/>
          <w:w w:val="95"/>
          <w:sz w:val="21"/>
        </w:rPr>
        <w:t>利</w:t>
      </w:r>
      <w:r>
        <w:rPr>
          <w:b/>
          <w:w w:val="95"/>
          <w:sz w:val="21"/>
        </w:rPr>
        <w:t>连</w:t>
      </w:r>
      <w:r>
        <w:rPr>
          <w:b/>
          <w:w w:val="95"/>
          <w:sz w:val="21"/>
        </w:rPr>
        <w:t>同</w:t>
      </w:r>
      <w:r>
        <w:rPr>
          <w:b/>
          <w:w w:val="95"/>
          <w:sz w:val="21"/>
        </w:rPr>
        <w:t>支</w:t>
      </w:r>
      <w:r>
        <w:rPr>
          <w:b/>
          <w:w w:val="95"/>
          <w:sz w:val="21"/>
        </w:rPr>
        <w:t>持</w:t>
      </w:r>
      <w:r>
        <w:rPr>
          <w:b/>
          <w:w w:val="95"/>
          <w:sz w:val="21"/>
        </w:rPr>
        <w:t>性</w:t>
      </w:r>
      <w:r>
        <w:rPr>
          <w:b/>
          <w:w w:val="95"/>
          <w:sz w:val="21"/>
        </w:rPr>
        <w:t>文</w:t>
      </w:r>
      <w:r>
        <w:rPr>
          <w:b/>
          <w:w w:val="95"/>
          <w:sz w:val="21"/>
        </w:rPr>
        <w:t>件</w:t>
      </w:r>
      <w:r>
        <w:rPr>
          <w:b/>
          <w:w w:val="95"/>
          <w:sz w:val="21"/>
        </w:rPr>
        <w:t>一</w:t>
      </w:r>
      <w:r>
        <w:rPr>
          <w:b/>
          <w:w w:val="95"/>
          <w:sz w:val="21"/>
        </w:rPr>
        <w:t>并</w:t>
      </w:r>
      <w:r>
        <w:rPr>
          <w:b/>
          <w:spacing w:val="-4"/>
          <w:w w:val="95"/>
          <w:sz w:val="21"/>
        </w:rPr>
        <w:t>附上。</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tabs>
          <w:tab w:pos="7474" w:val="left" w:leader="none"/>
        </w:tabs>
        <w:spacing w:before="132"/>
        <w:ind w:left="115" w:right="0" w:firstLine="0"/>
        <w:jc w:val="center"/>
        <w:rPr>
          <w:rFonts w:ascii="黑体" w:eastAsia="黑体"/>
          <w:sz w:val="28"/>
        </w:rPr>
      </w:pPr>
      <w:r>
        <w:rPr/>
        <w:pict>
          <v:rect style="position:absolute;margin-left:70.849998pt;margin-top:25.895pt;width:481.9pt;height:.75pt;mso-position-horizontal-relative:page;mso-position-vertical-relative:paragraph;z-index:-15728640;mso-wrap-distance-left:0;mso-wrap-distance-right:0" id="docshape2" filled="true" fillcolor="#000000" stroked="false">
            <v:fill type="solid"/>
            <w10:wrap type="topAndBottom"/>
          </v:rect>
        </w:pict>
      </w:r>
      <w:r>
        <w:rPr/>
        <w:drawing>
          <wp:anchor distT="0" distB="0" distL="0" distR="0" allowOverlap="1" layoutInCell="1" locked="0" behindDoc="0" simplePos="0" relativeHeight="1">
            <wp:simplePos x="0" y="0"/>
            <wp:positionH relativeFrom="page">
              <wp:posOffset>2511551</wp:posOffset>
            </wp:positionH>
            <wp:positionV relativeFrom="paragraph">
              <wp:posOffset>521430</wp:posOffset>
            </wp:positionV>
            <wp:extent cx="2822097" cy="536543"/>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2822097" cy="536543"/>
                    </a:xfrm>
                    <a:prstGeom prst="rect">
                      <a:avLst/>
                    </a:prstGeom>
                  </pic:spPr>
                </pic:pic>
              </a:graphicData>
            </a:graphic>
          </wp:anchor>
        </w:drawing>
      </w:r>
      <w:r>
        <w:rPr>
          <w:rFonts w:ascii="黑体" w:eastAsia="黑体"/>
          <w:spacing w:val="-2"/>
          <w:sz w:val="28"/>
        </w:rPr>
        <w:t>XXXX</w:t>
      </w:r>
      <w:r>
        <w:rPr>
          <w:rFonts w:ascii="黑体" w:eastAsia="黑体"/>
          <w:spacing w:val="-68"/>
          <w:sz w:val="28"/>
        </w:rPr>
        <w:t> </w:t>
      </w:r>
      <w:r>
        <w:rPr>
          <w:rFonts w:ascii="黑体" w:eastAsia="黑体"/>
          <w:spacing w:val="-2"/>
          <w:sz w:val="28"/>
        </w:rPr>
        <w:t>-</w:t>
      </w:r>
      <w:r>
        <w:rPr>
          <w:rFonts w:ascii="黑体" w:eastAsia="黑体"/>
          <w:spacing w:val="-68"/>
          <w:sz w:val="28"/>
        </w:rPr>
        <w:t> </w:t>
      </w:r>
      <w:r>
        <w:rPr>
          <w:rFonts w:ascii="黑体" w:eastAsia="黑体"/>
          <w:spacing w:val="-2"/>
          <w:sz w:val="28"/>
        </w:rPr>
        <w:t>XX</w:t>
      </w:r>
      <w:r>
        <w:rPr>
          <w:rFonts w:ascii="黑体" w:eastAsia="黑体"/>
          <w:spacing w:val="-69"/>
          <w:sz w:val="28"/>
        </w:rPr>
        <w:t> </w:t>
      </w:r>
      <w:r>
        <w:rPr>
          <w:rFonts w:ascii="黑体" w:eastAsia="黑体"/>
          <w:spacing w:val="-2"/>
          <w:sz w:val="28"/>
        </w:rPr>
        <w:t>-</w:t>
      </w:r>
      <w:r>
        <w:rPr>
          <w:rFonts w:ascii="黑体" w:eastAsia="黑体"/>
          <w:spacing w:val="-65"/>
          <w:sz w:val="28"/>
        </w:rPr>
        <w:t> </w:t>
      </w:r>
      <w:r>
        <w:rPr>
          <w:rFonts w:ascii="黑体" w:eastAsia="黑体"/>
          <w:spacing w:val="-2"/>
          <w:sz w:val="28"/>
        </w:rPr>
        <w:t>XX</w:t>
      </w:r>
      <w:r>
        <w:rPr>
          <w:rFonts w:ascii="黑体" w:eastAsia="黑体"/>
          <w:spacing w:val="-68"/>
          <w:sz w:val="28"/>
        </w:rPr>
        <w:t> </w:t>
      </w:r>
      <w:r>
        <w:rPr>
          <w:rFonts w:ascii="黑体" w:eastAsia="黑体"/>
          <w:spacing w:val="-2"/>
          <w:sz w:val="28"/>
        </w:rPr>
        <w:t>发</w:t>
      </w:r>
      <w:r>
        <w:rPr>
          <w:rFonts w:ascii="黑体" w:eastAsia="黑体"/>
          <w:spacing w:val="-12"/>
          <w:sz w:val="28"/>
        </w:rPr>
        <w:t>布</w:t>
      </w:r>
      <w:r>
        <w:rPr>
          <w:rFonts w:ascii="黑体" w:eastAsia="黑体"/>
          <w:sz w:val="28"/>
        </w:rPr>
        <w:tab/>
      </w:r>
      <w:r>
        <w:rPr>
          <w:rFonts w:ascii="黑体" w:eastAsia="黑体"/>
          <w:spacing w:val="-2"/>
          <w:sz w:val="28"/>
        </w:rPr>
        <w:t>XXXX</w:t>
      </w:r>
      <w:r>
        <w:rPr>
          <w:rFonts w:ascii="黑体" w:eastAsia="黑体"/>
          <w:spacing w:val="-71"/>
          <w:sz w:val="28"/>
        </w:rPr>
        <w:t> </w:t>
      </w:r>
      <w:r>
        <w:rPr>
          <w:rFonts w:ascii="黑体" w:eastAsia="黑体"/>
          <w:spacing w:val="-2"/>
          <w:sz w:val="28"/>
        </w:rPr>
        <w:t>-</w:t>
      </w:r>
      <w:r>
        <w:rPr>
          <w:rFonts w:ascii="黑体" w:eastAsia="黑体"/>
          <w:spacing w:val="-65"/>
          <w:sz w:val="28"/>
        </w:rPr>
        <w:t> </w:t>
      </w:r>
      <w:r>
        <w:rPr>
          <w:rFonts w:ascii="黑体" w:eastAsia="黑体"/>
          <w:spacing w:val="-2"/>
          <w:sz w:val="28"/>
        </w:rPr>
        <w:t>XX</w:t>
      </w:r>
      <w:r>
        <w:rPr>
          <w:rFonts w:ascii="黑体" w:eastAsia="黑体"/>
          <w:spacing w:val="-68"/>
          <w:sz w:val="28"/>
        </w:rPr>
        <w:t> </w:t>
      </w:r>
      <w:r>
        <w:rPr>
          <w:rFonts w:ascii="黑体" w:eastAsia="黑体"/>
          <w:spacing w:val="-2"/>
          <w:sz w:val="28"/>
        </w:rPr>
        <w:t>-</w:t>
      </w:r>
      <w:r>
        <w:rPr>
          <w:rFonts w:ascii="黑体" w:eastAsia="黑体"/>
          <w:spacing w:val="-68"/>
          <w:sz w:val="28"/>
        </w:rPr>
        <w:t> </w:t>
      </w:r>
      <w:r>
        <w:rPr>
          <w:rFonts w:ascii="黑体" w:eastAsia="黑体"/>
          <w:spacing w:val="-2"/>
          <w:sz w:val="28"/>
        </w:rPr>
        <w:t>XX</w:t>
      </w:r>
      <w:r>
        <w:rPr>
          <w:rFonts w:ascii="黑体" w:eastAsia="黑体"/>
          <w:spacing w:val="-68"/>
          <w:sz w:val="28"/>
        </w:rPr>
        <w:t> </w:t>
      </w:r>
      <w:r>
        <w:rPr>
          <w:rFonts w:ascii="黑体" w:eastAsia="黑体"/>
          <w:spacing w:val="-2"/>
          <w:sz w:val="28"/>
        </w:rPr>
        <w:t>实</w:t>
      </w:r>
      <w:r>
        <w:rPr>
          <w:rFonts w:ascii="黑体" w:eastAsia="黑体"/>
          <w:spacing w:val="-10"/>
          <w:sz w:val="28"/>
        </w:rPr>
        <w:t>施</w:t>
      </w:r>
    </w:p>
    <w:p>
      <w:pPr>
        <w:pStyle w:val="BodyText"/>
        <w:spacing w:before="8"/>
        <w:rPr>
          <w:rFonts w:ascii="黑体"/>
          <w:sz w:val="20"/>
        </w:rPr>
      </w:pPr>
    </w:p>
    <w:p>
      <w:pPr>
        <w:spacing w:after="0"/>
        <w:rPr>
          <w:rFonts w:ascii="黑体"/>
          <w:sz w:val="20"/>
        </w:rPr>
        <w:sectPr>
          <w:type w:val="continuous"/>
          <w:pgSz w:w="11910" w:h="16840"/>
          <w:pgMar w:top="480" w:bottom="280" w:left="1200" w:right="720"/>
        </w:sectPr>
      </w:pPr>
    </w:p>
    <w:p>
      <w:pPr>
        <w:pStyle w:val="BodyText"/>
        <w:rPr>
          <w:rFonts w:ascii="黑体"/>
          <w:sz w:val="20"/>
        </w:rPr>
      </w:pPr>
    </w:p>
    <w:p>
      <w:pPr>
        <w:pStyle w:val="BodyText"/>
        <w:rPr>
          <w:rFonts w:ascii="黑体"/>
          <w:sz w:val="20"/>
        </w:rPr>
      </w:pPr>
    </w:p>
    <w:p>
      <w:pPr>
        <w:pStyle w:val="BodyText"/>
        <w:spacing w:before="9"/>
        <w:rPr>
          <w:rFonts w:ascii="黑体"/>
          <w:sz w:val="22"/>
        </w:rPr>
      </w:pPr>
    </w:p>
    <w:p>
      <w:pPr>
        <w:pStyle w:val="Heading1"/>
        <w:tabs>
          <w:tab w:pos="959" w:val="left" w:leader="none"/>
        </w:tabs>
        <w:ind w:right="194"/>
      </w:pPr>
      <w:r>
        <w:rPr>
          <w:spacing w:val="-10"/>
        </w:rPr>
        <w:t>目</w:t>
      </w:r>
      <w:r>
        <w:rPr/>
        <w:tab/>
      </w:r>
      <w:r>
        <w:rPr>
          <w:spacing w:val="-10"/>
        </w:rPr>
        <w:t>次</w:t>
      </w:r>
    </w:p>
    <w:p>
      <w:pPr>
        <w:pStyle w:val="BodyText"/>
        <w:tabs>
          <w:tab w:pos="9572" w:val="right" w:leader="dot"/>
        </w:tabs>
        <w:spacing w:before="684"/>
        <w:ind w:left="218"/>
      </w:pPr>
      <w:hyperlink w:history="true" w:anchor="_bookmark0">
        <w:r>
          <w:rPr>
            <w:w w:val="95"/>
          </w:rPr>
          <w:t>前</w:t>
        </w:r>
        <w:r>
          <w:rPr>
            <w:spacing w:val="-10"/>
          </w:rPr>
          <w:t>言</w:t>
        </w:r>
        <w:r>
          <w:rPr>
            <w:rFonts w:ascii="Times New Roman" w:eastAsia="Times New Roman"/>
          </w:rPr>
          <w:tab/>
        </w:r>
        <w:r>
          <w:rPr>
            <w:spacing w:val="-5"/>
            <w:w w:val="95"/>
          </w:rPr>
          <w:t>II</w:t>
        </w:r>
      </w:hyperlink>
    </w:p>
    <w:p>
      <w:pPr>
        <w:pStyle w:val="ListParagraph"/>
        <w:numPr>
          <w:ilvl w:val="0"/>
          <w:numId w:val="1"/>
        </w:numPr>
        <w:tabs>
          <w:tab w:pos="533" w:val="left" w:leader="none"/>
          <w:tab w:pos="9572" w:val="right" w:leader="dot"/>
        </w:tabs>
        <w:spacing w:line="240" w:lineRule="auto" w:before="132" w:after="0"/>
        <w:ind w:left="532" w:right="0" w:hanging="315"/>
        <w:jc w:val="left"/>
        <w:rPr>
          <w:sz w:val="21"/>
        </w:rPr>
      </w:pPr>
      <w:hyperlink w:history="true" w:anchor="_bookmark1">
        <w:r>
          <w:rPr>
            <w:w w:val="95"/>
            <w:sz w:val="21"/>
          </w:rPr>
          <w:t>范</w:t>
        </w:r>
        <w:r>
          <w:rPr>
            <w:spacing w:val="-10"/>
            <w:sz w:val="21"/>
          </w:rPr>
          <w:t>围</w:t>
        </w:r>
        <w:r>
          <w:rPr>
            <w:rFonts w:ascii="Times New Roman" w:eastAsia="Times New Roman"/>
            <w:sz w:val="21"/>
          </w:rPr>
          <w:tab/>
        </w:r>
        <w:r>
          <w:rPr>
            <w:spacing w:val="-10"/>
            <w:sz w:val="21"/>
          </w:rPr>
          <w:t>1</w:t>
        </w:r>
      </w:hyperlink>
    </w:p>
    <w:p>
      <w:pPr>
        <w:pStyle w:val="ListParagraph"/>
        <w:numPr>
          <w:ilvl w:val="0"/>
          <w:numId w:val="1"/>
        </w:numPr>
        <w:tabs>
          <w:tab w:pos="533" w:val="left" w:leader="none"/>
          <w:tab w:pos="9572" w:val="right" w:leader="dot"/>
        </w:tabs>
        <w:spacing w:line="240" w:lineRule="auto" w:before="132" w:after="0"/>
        <w:ind w:left="532" w:right="0" w:hanging="315"/>
        <w:jc w:val="left"/>
        <w:rPr>
          <w:sz w:val="21"/>
        </w:rPr>
      </w:pPr>
      <w:hyperlink w:history="true" w:anchor="_bookmark2">
        <w:r>
          <w:rPr>
            <w:w w:val="95"/>
            <w:sz w:val="21"/>
          </w:rPr>
          <w:t>规范性引用文</w:t>
        </w:r>
        <w:r>
          <w:rPr>
            <w:spacing w:val="-10"/>
            <w:w w:val="95"/>
            <w:sz w:val="21"/>
          </w:rPr>
          <w:t>件</w:t>
        </w:r>
        <w:r>
          <w:rPr>
            <w:rFonts w:ascii="Times New Roman" w:eastAsia="Times New Roman"/>
            <w:sz w:val="21"/>
          </w:rPr>
          <w:tab/>
        </w:r>
        <w:r>
          <w:rPr>
            <w:spacing w:val="-10"/>
            <w:sz w:val="21"/>
          </w:rPr>
          <w:t>1</w:t>
        </w:r>
      </w:hyperlink>
    </w:p>
    <w:p>
      <w:pPr>
        <w:pStyle w:val="ListParagraph"/>
        <w:numPr>
          <w:ilvl w:val="0"/>
          <w:numId w:val="1"/>
        </w:numPr>
        <w:tabs>
          <w:tab w:pos="533" w:val="left" w:leader="none"/>
          <w:tab w:pos="9572" w:val="right" w:leader="dot"/>
        </w:tabs>
        <w:spacing w:line="240" w:lineRule="auto" w:before="129" w:after="0"/>
        <w:ind w:left="532" w:right="0" w:hanging="315"/>
        <w:jc w:val="left"/>
        <w:rPr>
          <w:sz w:val="21"/>
        </w:rPr>
      </w:pPr>
      <w:hyperlink w:history="true" w:anchor="_bookmark3">
        <w:r>
          <w:rPr>
            <w:w w:val="95"/>
            <w:sz w:val="21"/>
          </w:rPr>
          <w:t>术语和定</w:t>
        </w:r>
        <w:r>
          <w:rPr>
            <w:spacing w:val="-10"/>
            <w:w w:val="95"/>
            <w:sz w:val="21"/>
          </w:rPr>
          <w:t>义</w:t>
        </w:r>
        <w:r>
          <w:rPr>
            <w:rFonts w:ascii="Times New Roman" w:eastAsia="Times New Roman"/>
            <w:sz w:val="21"/>
          </w:rPr>
          <w:tab/>
        </w:r>
        <w:r>
          <w:rPr>
            <w:spacing w:val="-10"/>
            <w:sz w:val="21"/>
          </w:rPr>
          <w:t>1</w:t>
        </w:r>
      </w:hyperlink>
    </w:p>
    <w:p>
      <w:pPr>
        <w:pStyle w:val="ListParagraph"/>
        <w:numPr>
          <w:ilvl w:val="0"/>
          <w:numId w:val="1"/>
        </w:numPr>
        <w:tabs>
          <w:tab w:pos="533" w:val="left" w:leader="none"/>
          <w:tab w:pos="9572" w:val="right" w:leader="dot"/>
        </w:tabs>
        <w:spacing w:line="240" w:lineRule="auto" w:before="132" w:after="0"/>
        <w:ind w:left="532" w:right="0" w:hanging="315"/>
        <w:jc w:val="left"/>
        <w:rPr>
          <w:sz w:val="21"/>
        </w:rPr>
      </w:pPr>
      <w:hyperlink w:history="true" w:anchor="_bookmark4">
        <w:r>
          <w:rPr>
            <w:w w:val="95"/>
            <w:sz w:val="21"/>
          </w:rPr>
          <w:t>总体要</w:t>
        </w:r>
        <w:r>
          <w:rPr>
            <w:spacing w:val="-10"/>
            <w:w w:val="95"/>
            <w:sz w:val="21"/>
          </w:rPr>
          <w:t>求</w:t>
        </w:r>
        <w:r>
          <w:rPr>
            <w:rFonts w:ascii="Times New Roman" w:eastAsia="Times New Roman"/>
            <w:sz w:val="21"/>
          </w:rPr>
          <w:tab/>
        </w:r>
        <w:r>
          <w:rPr>
            <w:spacing w:val="-10"/>
            <w:sz w:val="21"/>
          </w:rPr>
          <w:t>2</w:t>
        </w:r>
      </w:hyperlink>
    </w:p>
    <w:p>
      <w:pPr>
        <w:pStyle w:val="ListParagraph"/>
        <w:numPr>
          <w:ilvl w:val="0"/>
          <w:numId w:val="1"/>
        </w:numPr>
        <w:tabs>
          <w:tab w:pos="428" w:val="left" w:leader="none"/>
          <w:tab w:pos="9572" w:val="right" w:leader="dot"/>
        </w:tabs>
        <w:spacing w:line="240" w:lineRule="auto" w:before="131" w:after="0"/>
        <w:ind w:left="427" w:right="0" w:hanging="210"/>
        <w:jc w:val="left"/>
        <w:rPr>
          <w:sz w:val="21"/>
        </w:rPr>
      </w:pPr>
      <w:hyperlink w:history="true" w:anchor="_bookmark5">
        <w:r>
          <w:rPr>
            <w:w w:val="95"/>
            <w:sz w:val="21"/>
          </w:rPr>
          <w:t>价格行为管理要</w:t>
        </w:r>
        <w:r>
          <w:rPr>
            <w:spacing w:val="-10"/>
            <w:w w:val="95"/>
            <w:sz w:val="21"/>
          </w:rPr>
          <w:t>求</w:t>
        </w:r>
        <w:r>
          <w:rPr>
            <w:rFonts w:ascii="Times New Roman" w:eastAsia="Times New Roman"/>
            <w:sz w:val="21"/>
          </w:rPr>
          <w:tab/>
        </w:r>
        <w:r>
          <w:rPr>
            <w:spacing w:val="-10"/>
            <w:sz w:val="21"/>
          </w:rPr>
          <w:t>2</w:t>
        </w:r>
      </w:hyperlink>
    </w:p>
    <w:p>
      <w:pPr>
        <w:pStyle w:val="ListParagraph"/>
        <w:numPr>
          <w:ilvl w:val="1"/>
          <w:numId w:val="1"/>
        </w:numPr>
        <w:tabs>
          <w:tab w:pos="953" w:val="left" w:leader="none"/>
          <w:tab w:pos="9572" w:val="right" w:leader="dot"/>
        </w:tabs>
        <w:spacing w:line="240" w:lineRule="auto" w:before="51" w:after="0"/>
        <w:ind w:left="952" w:right="0" w:hanging="526"/>
        <w:jc w:val="left"/>
        <w:rPr>
          <w:sz w:val="21"/>
        </w:rPr>
      </w:pPr>
      <w:hyperlink w:history="true" w:anchor="_bookmark6">
        <w:r>
          <w:rPr>
            <w:w w:val="95"/>
            <w:sz w:val="21"/>
          </w:rPr>
          <w:t>收费管</w:t>
        </w:r>
        <w:r>
          <w:rPr>
            <w:spacing w:val="-10"/>
            <w:w w:val="95"/>
            <w:sz w:val="21"/>
          </w:rPr>
          <w:t>理</w:t>
        </w:r>
        <w:r>
          <w:rPr>
            <w:rFonts w:ascii="Times New Roman" w:eastAsia="Times New Roman"/>
            <w:sz w:val="21"/>
          </w:rPr>
          <w:tab/>
        </w:r>
        <w:r>
          <w:rPr>
            <w:spacing w:val="-10"/>
            <w:sz w:val="21"/>
          </w:rPr>
          <w:t>2</w:t>
        </w:r>
      </w:hyperlink>
    </w:p>
    <w:p>
      <w:pPr>
        <w:pStyle w:val="ListParagraph"/>
        <w:numPr>
          <w:ilvl w:val="1"/>
          <w:numId w:val="1"/>
        </w:numPr>
        <w:tabs>
          <w:tab w:pos="953" w:val="left" w:leader="none"/>
          <w:tab w:pos="9572" w:val="right" w:leader="dot"/>
        </w:tabs>
        <w:spacing w:line="240" w:lineRule="auto" w:before="30" w:after="0"/>
        <w:ind w:left="952" w:right="0" w:hanging="526"/>
        <w:jc w:val="left"/>
        <w:rPr>
          <w:sz w:val="21"/>
        </w:rPr>
      </w:pPr>
      <w:hyperlink w:history="true" w:anchor="_bookmark7">
        <w:r>
          <w:rPr>
            <w:w w:val="95"/>
            <w:sz w:val="21"/>
          </w:rPr>
          <w:t>价格促销管</w:t>
        </w:r>
        <w:r>
          <w:rPr>
            <w:spacing w:val="-10"/>
            <w:w w:val="95"/>
            <w:sz w:val="21"/>
          </w:rPr>
          <w:t>理</w:t>
        </w:r>
        <w:r>
          <w:rPr>
            <w:rFonts w:ascii="Times New Roman" w:eastAsia="Times New Roman"/>
            <w:sz w:val="21"/>
          </w:rPr>
          <w:tab/>
        </w:r>
        <w:r>
          <w:rPr>
            <w:spacing w:val="-10"/>
            <w:sz w:val="21"/>
          </w:rPr>
          <w:t>4</w:t>
        </w:r>
      </w:hyperlink>
    </w:p>
    <w:p>
      <w:pPr>
        <w:pStyle w:val="ListParagraph"/>
        <w:numPr>
          <w:ilvl w:val="0"/>
          <w:numId w:val="1"/>
        </w:numPr>
        <w:tabs>
          <w:tab w:pos="533" w:val="left" w:leader="none"/>
          <w:tab w:pos="9572" w:val="right" w:leader="dot"/>
        </w:tabs>
        <w:spacing w:line="240" w:lineRule="auto" w:before="111" w:after="0"/>
        <w:ind w:left="532" w:right="0" w:hanging="315"/>
        <w:jc w:val="left"/>
        <w:rPr>
          <w:sz w:val="21"/>
        </w:rPr>
      </w:pPr>
      <w:hyperlink w:history="true" w:anchor="_bookmark8">
        <w:r>
          <w:rPr>
            <w:w w:val="95"/>
            <w:sz w:val="21"/>
          </w:rPr>
          <w:t>商户管</w:t>
        </w:r>
        <w:r>
          <w:rPr>
            <w:spacing w:val="-10"/>
            <w:w w:val="95"/>
            <w:sz w:val="21"/>
          </w:rPr>
          <w:t>理</w:t>
        </w:r>
        <w:r>
          <w:rPr>
            <w:rFonts w:ascii="Times New Roman" w:eastAsia="Times New Roman"/>
            <w:sz w:val="21"/>
          </w:rPr>
          <w:tab/>
        </w:r>
        <w:r>
          <w:rPr>
            <w:spacing w:val="-10"/>
            <w:sz w:val="21"/>
          </w:rPr>
          <w:t>6</w:t>
        </w:r>
      </w:hyperlink>
    </w:p>
    <w:p>
      <w:pPr>
        <w:pStyle w:val="ListParagraph"/>
        <w:numPr>
          <w:ilvl w:val="1"/>
          <w:numId w:val="1"/>
        </w:numPr>
        <w:tabs>
          <w:tab w:pos="953" w:val="left" w:leader="none"/>
          <w:tab w:pos="9572" w:val="right" w:leader="dot"/>
        </w:tabs>
        <w:spacing w:line="240" w:lineRule="auto" w:before="52" w:after="0"/>
        <w:ind w:left="952" w:right="0" w:hanging="526"/>
        <w:jc w:val="left"/>
        <w:rPr>
          <w:sz w:val="21"/>
        </w:rPr>
      </w:pPr>
      <w:hyperlink w:history="true" w:anchor="_bookmark9">
        <w:r>
          <w:rPr>
            <w:w w:val="95"/>
            <w:sz w:val="21"/>
          </w:rPr>
          <w:t>总</w:t>
        </w:r>
        <w:r>
          <w:rPr>
            <w:spacing w:val="-10"/>
            <w:sz w:val="21"/>
          </w:rPr>
          <w:t>则</w:t>
        </w:r>
        <w:r>
          <w:rPr>
            <w:rFonts w:ascii="Times New Roman" w:eastAsia="Times New Roman"/>
            <w:sz w:val="21"/>
          </w:rPr>
          <w:tab/>
        </w:r>
        <w:r>
          <w:rPr>
            <w:spacing w:val="-10"/>
            <w:sz w:val="21"/>
          </w:rPr>
          <w:t>6</w:t>
        </w:r>
      </w:hyperlink>
    </w:p>
    <w:p>
      <w:pPr>
        <w:pStyle w:val="ListParagraph"/>
        <w:numPr>
          <w:ilvl w:val="1"/>
          <w:numId w:val="1"/>
        </w:numPr>
        <w:tabs>
          <w:tab w:pos="953" w:val="left" w:leader="none"/>
          <w:tab w:pos="9572" w:val="right" w:leader="dot"/>
        </w:tabs>
        <w:spacing w:line="240" w:lineRule="auto" w:before="31" w:after="0"/>
        <w:ind w:left="952" w:right="0" w:hanging="526"/>
        <w:jc w:val="left"/>
        <w:rPr>
          <w:sz w:val="21"/>
        </w:rPr>
      </w:pPr>
      <w:hyperlink w:history="true" w:anchor="_bookmark10">
        <w:r>
          <w:rPr>
            <w:w w:val="95"/>
            <w:sz w:val="21"/>
          </w:rPr>
          <w:t>入驻条</w:t>
        </w:r>
        <w:r>
          <w:rPr>
            <w:spacing w:val="-10"/>
            <w:w w:val="95"/>
            <w:sz w:val="21"/>
          </w:rPr>
          <w:t>件</w:t>
        </w:r>
        <w:r>
          <w:rPr>
            <w:rFonts w:ascii="Times New Roman" w:eastAsia="Times New Roman"/>
            <w:sz w:val="21"/>
          </w:rPr>
          <w:tab/>
        </w:r>
        <w:r>
          <w:rPr>
            <w:spacing w:val="-10"/>
            <w:sz w:val="21"/>
          </w:rPr>
          <w:t>6</w:t>
        </w:r>
      </w:hyperlink>
    </w:p>
    <w:p>
      <w:pPr>
        <w:pStyle w:val="ListParagraph"/>
        <w:numPr>
          <w:ilvl w:val="1"/>
          <w:numId w:val="1"/>
        </w:numPr>
        <w:tabs>
          <w:tab w:pos="953" w:val="left" w:leader="none"/>
          <w:tab w:pos="9572" w:val="right" w:leader="dot"/>
        </w:tabs>
        <w:spacing w:line="240" w:lineRule="auto" w:before="31" w:after="0"/>
        <w:ind w:left="952" w:right="0" w:hanging="526"/>
        <w:jc w:val="left"/>
        <w:rPr>
          <w:sz w:val="21"/>
        </w:rPr>
      </w:pPr>
      <w:hyperlink w:history="true" w:anchor="_bookmark11">
        <w:r>
          <w:rPr>
            <w:w w:val="95"/>
            <w:sz w:val="21"/>
          </w:rPr>
          <w:t>信息审</w:t>
        </w:r>
        <w:r>
          <w:rPr>
            <w:spacing w:val="-10"/>
            <w:w w:val="95"/>
            <w:sz w:val="21"/>
          </w:rPr>
          <w:t>核</w:t>
        </w:r>
        <w:r>
          <w:rPr>
            <w:rFonts w:ascii="Times New Roman" w:eastAsia="Times New Roman"/>
            <w:sz w:val="21"/>
          </w:rPr>
          <w:tab/>
        </w:r>
        <w:r>
          <w:rPr>
            <w:spacing w:val="-10"/>
            <w:sz w:val="21"/>
          </w:rPr>
          <w:t>7</w:t>
        </w:r>
      </w:hyperlink>
    </w:p>
    <w:p>
      <w:pPr>
        <w:pStyle w:val="ListParagraph"/>
        <w:numPr>
          <w:ilvl w:val="1"/>
          <w:numId w:val="1"/>
        </w:numPr>
        <w:tabs>
          <w:tab w:pos="953" w:val="left" w:leader="none"/>
          <w:tab w:pos="9572" w:val="right" w:leader="dot"/>
        </w:tabs>
        <w:spacing w:line="240" w:lineRule="auto" w:before="31" w:after="0"/>
        <w:ind w:left="952" w:right="0" w:hanging="526"/>
        <w:jc w:val="left"/>
        <w:rPr>
          <w:sz w:val="21"/>
        </w:rPr>
      </w:pPr>
      <w:hyperlink w:history="true" w:anchor="_bookmark12">
        <w:r>
          <w:rPr>
            <w:w w:val="95"/>
            <w:sz w:val="21"/>
          </w:rPr>
          <w:t>运营管</w:t>
        </w:r>
        <w:r>
          <w:rPr>
            <w:spacing w:val="-10"/>
            <w:w w:val="95"/>
            <w:sz w:val="21"/>
          </w:rPr>
          <w:t>理</w:t>
        </w:r>
        <w:r>
          <w:rPr>
            <w:rFonts w:ascii="Times New Roman" w:eastAsia="Times New Roman"/>
            <w:sz w:val="21"/>
          </w:rPr>
          <w:tab/>
        </w:r>
        <w:r>
          <w:rPr>
            <w:spacing w:val="-10"/>
            <w:sz w:val="21"/>
          </w:rPr>
          <w:t>7</w:t>
        </w:r>
      </w:hyperlink>
    </w:p>
    <w:p>
      <w:pPr>
        <w:pStyle w:val="ListParagraph"/>
        <w:numPr>
          <w:ilvl w:val="0"/>
          <w:numId w:val="1"/>
        </w:numPr>
        <w:tabs>
          <w:tab w:pos="533" w:val="left" w:leader="none"/>
          <w:tab w:pos="9572" w:val="right" w:leader="dot"/>
        </w:tabs>
        <w:spacing w:line="240" w:lineRule="auto" w:before="110" w:after="0"/>
        <w:ind w:left="532" w:right="0" w:hanging="315"/>
        <w:jc w:val="left"/>
        <w:rPr>
          <w:sz w:val="21"/>
        </w:rPr>
      </w:pPr>
      <w:hyperlink w:history="true" w:anchor="_bookmark13">
        <w:r>
          <w:rPr>
            <w:w w:val="95"/>
            <w:sz w:val="21"/>
          </w:rPr>
          <w:t>配送员权益保</w:t>
        </w:r>
        <w:r>
          <w:rPr>
            <w:spacing w:val="-10"/>
            <w:w w:val="95"/>
            <w:sz w:val="21"/>
          </w:rPr>
          <w:t>障</w:t>
        </w:r>
        <w:r>
          <w:rPr>
            <w:rFonts w:ascii="Times New Roman" w:eastAsia="Times New Roman"/>
            <w:sz w:val="21"/>
          </w:rPr>
          <w:tab/>
        </w:r>
        <w:r>
          <w:rPr>
            <w:spacing w:val="-10"/>
            <w:sz w:val="21"/>
          </w:rPr>
          <w:t>8</w:t>
        </w:r>
      </w:hyperlink>
    </w:p>
    <w:p>
      <w:pPr>
        <w:pStyle w:val="ListParagraph"/>
        <w:numPr>
          <w:ilvl w:val="1"/>
          <w:numId w:val="1"/>
        </w:numPr>
        <w:tabs>
          <w:tab w:pos="953" w:val="left" w:leader="none"/>
          <w:tab w:pos="9572" w:val="right" w:leader="dot"/>
        </w:tabs>
        <w:spacing w:line="240" w:lineRule="auto" w:before="50" w:after="0"/>
        <w:ind w:left="952" w:right="0" w:hanging="526"/>
        <w:jc w:val="left"/>
        <w:rPr>
          <w:sz w:val="21"/>
        </w:rPr>
      </w:pPr>
      <w:hyperlink w:history="true" w:anchor="_bookmark14">
        <w:r>
          <w:rPr>
            <w:w w:val="95"/>
            <w:sz w:val="21"/>
          </w:rPr>
          <w:t>总</w:t>
        </w:r>
        <w:r>
          <w:rPr>
            <w:spacing w:val="-10"/>
            <w:sz w:val="21"/>
          </w:rPr>
          <w:t>则</w:t>
        </w:r>
        <w:r>
          <w:rPr>
            <w:rFonts w:ascii="Times New Roman" w:eastAsia="Times New Roman"/>
            <w:sz w:val="21"/>
          </w:rPr>
          <w:tab/>
        </w:r>
        <w:r>
          <w:rPr>
            <w:spacing w:val="-10"/>
            <w:sz w:val="21"/>
          </w:rPr>
          <w:t>8</w:t>
        </w:r>
      </w:hyperlink>
    </w:p>
    <w:p>
      <w:pPr>
        <w:pStyle w:val="ListParagraph"/>
        <w:numPr>
          <w:ilvl w:val="1"/>
          <w:numId w:val="1"/>
        </w:numPr>
        <w:tabs>
          <w:tab w:pos="953" w:val="left" w:leader="none"/>
          <w:tab w:pos="9572" w:val="right" w:leader="dot"/>
        </w:tabs>
        <w:spacing w:line="240" w:lineRule="auto" w:before="31" w:after="0"/>
        <w:ind w:left="952" w:right="0" w:hanging="526"/>
        <w:jc w:val="left"/>
        <w:rPr>
          <w:sz w:val="21"/>
        </w:rPr>
      </w:pPr>
      <w:hyperlink w:history="true" w:anchor="_bookmark15">
        <w:r>
          <w:rPr>
            <w:w w:val="95"/>
            <w:sz w:val="21"/>
          </w:rPr>
          <w:t>社会保</w:t>
        </w:r>
        <w:r>
          <w:rPr>
            <w:spacing w:val="-10"/>
            <w:w w:val="95"/>
            <w:sz w:val="21"/>
          </w:rPr>
          <w:t>障</w:t>
        </w:r>
        <w:r>
          <w:rPr>
            <w:rFonts w:ascii="Times New Roman" w:eastAsia="Times New Roman"/>
            <w:sz w:val="21"/>
          </w:rPr>
          <w:tab/>
        </w:r>
        <w:r>
          <w:rPr>
            <w:spacing w:val="-10"/>
            <w:sz w:val="21"/>
          </w:rPr>
          <w:t>9</w:t>
        </w:r>
      </w:hyperlink>
    </w:p>
    <w:p>
      <w:pPr>
        <w:pStyle w:val="ListParagraph"/>
        <w:numPr>
          <w:ilvl w:val="1"/>
          <w:numId w:val="1"/>
        </w:numPr>
        <w:tabs>
          <w:tab w:pos="953" w:val="left" w:leader="none"/>
          <w:tab w:pos="9572" w:val="right" w:leader="dot"/>
        </w:tabs>
        <w:spacing w:line="240" w:lineRule="auto" w:before="31" w:after="0"/>
        <w:ind w:left="952" w:right="0" w:hanging="526"/>
        <w:jc w:val="left"/>
        <w:rPr>
          <w:sz w:val="21"/>
        </w:rPr>
      </w:pPr>
      <w:hyperlink w:history="true" w:anchor="_bookmark16">
        <w:r>
          <w:rPr>
            <w:w w:val="95"/>
            <w:sz w:val="21"/>
          </w:rPr>
          <w:t>劳动报</w:t>
        </w:r>
        <w:r>
          <w:rPr>
            <w:spacing w:val="-10"/>
            <w:w w:val="95"/>
            <w:sz w:val="21"/>
          </w:rPr>
          <w:t>酬</w:t>
        </w:r>
        <w:r>
          <w:rPr>
            <w:rFonts w:ascii="Times New Roman" w:eastAsia="Times New Roman"/>
            <w:sz w:val="21"/>
          </w:rPr>
          <w:tab/>
        </w:r>
        <w:r>
          <w:rPr>
            <w:spacing w:val="-10"/>
            <w:sz w:val="21"/>
          </w:rPr>
          <w:t>9</w:t>
        </w:r>
      </w:hyperlink>
    </w:p>
    <w:p>
      <w:pPr>
        <w:pStyle w:val="ListParagraph"/>
        <w:numPr>
          <w:ilvl w:val="1"/>
          <w:numId w:val="1"/>
        </w:numPr>
        <w:tabs>
          <w:tab w:pos="953" w:val="left" w:leader="none"/>
          <w:tab w:pos="9572" w:val="right" w:leader="dot"/>
        </w:tabs>
        <w:spacing w:line="240" w:lineRule="auto" w:before="31" w:after="0"/>
        <w:ind w:left="952" w:right="0" w:hanging="526"/>
        <w:jc w:val="left"/>
        <w:rPr>
          <w:sz w:val="21"/>
        </w:rPr>
      </w:pPr>
      <w:hyperlink w:history="true" w:anchor="_bookmark17">
        <w:r>
          <w:rPr>
            <w:w w:val="95"/>
            <w:sz w:val="21"/>
          </w:rPr>
          <w:t>工作时</w:t>
        </w:r>
        <w:r>
          <w:rPr>
            <w:spacing w:val="-10"/>
            <w:w w:val="95"/>
            <w:sz w:val="21"/>
          </w:rPr>
          <w:t>间</w:t>
        </w:r>
        <w:r>
          <w:rPr>
            <w:rFonts w:ascii="Times New Roman" w:eastAsia="Times New Roman"/>
            <w:sz w:val="21"/>
          </w:rPr>
          <w:tab/>
        </w:r>
        <w:r>
          <w:rPr>
            <w:spacing w:val="-10"/>
            <w:sz w:val="21"/>
          </w:rPr>
          <w:t>9</w:t>
        </w:r>
      </w:hyperlink>
    </w:p>
    <w:p>
      <w:pPr>
        <w:pStyle w:val="ListParagraph"/>
        <w:numPr>
          <w:ilvl w:val="1"/>
          <w:numId w:val="1"/>
        </w:numPr>
        <w:tabs>
          <w:tab w:pos="953" w:val="left" w:leader="none"/>
          <w:tab w:pos="9572" w:val="right" w:leader="dot"/>
        </w:tabs>
        <w:spacing w:line="240" w:lineRule="auto" w:before="31" w:after="0"/>
        <w:ind w:left="952" w:right="0" w:hanging="526"/>
        <w:jc w:val="left"/>
        <w:rPr>
          <w:sz w:val="21"/>
        </w:rPr>
      </w:pPr>
      <w:hyperlink w:history="true" w:anchor="_bookmark18">
        <w:r>
          <w:rPr>
            <w:w w:val="95"/>
            <w:sz w:val="21"/>
          </w:rPr>
          <w:t>职业发展和关</w:t>
        </w:r>
        <w:r>
          <w:rPr>
            <w:spacing w:val="-10"/>
            <w:w w:val="95"/>
            <w:sz w:val="21"/>
          </w:rPr>
          <w:t>怀</w:t>
        </w:r>
        <w:r>
          <w:rPr>
            <w:rFonts w:ascii="Times New Roman" w:eastAsia="Times New Roman"/>
            <w:sz w:val="21"/>
          </w:rPr>
          <w:tab/>
        </w:r>
        <w:r>
          <w:rPr>
            <w:spacing w:val="-5"/>
            <w:sz w:val="21"/>
          </w:rPr>
          <w:t>10</w:t>
        </w:r>
      </w:hyperlink>
    </w:p>
    <w:p>
      <w:pPr>
        <w:pStyle w:val="BodyText"/>
        <w:tabs>
          <w:tab w:pos="9572" w:val="right" w:leader="dot"/>
        </w:tabs>
        <w:spacing w:before="113"/>
        <w:ind w:left="218"/>
      </w:pPr>
      <w:hyperlink w:history="true" w:anchor="_bookmark19">
        <w:r>
          <w:rPr/>
          <w:t>附录</w:t>
        </w:r>
        <w:r>
          <w:rPr>
            <w:spacing w:val="-53"/>
          </w:rPr>
          <w:t> </w:t>
        </w:r>
        <w:r>
          <w:rPr/>
          <w:t>A</w:t>
        </w:r>
        <w:r>
          <w:rPr>
            <w:spacing w:val="34"/>
            <w:w w:val="150"/>
          </w:rPr>
          <w:t> </w:t>
        </w:r>
        <w:r>
          <w:rPr/>
          <w:t>（规范性）</w:t>
        </w:r>
        <w:r>
          <w:rPr>
            <w:spacing w:val="-7"/>
          </w:rPr>
          <w:t> </w:t>
        </w:r>
        <w:r>
          <w:rPr/>
          <w:t>平台收费计算公</w:t>
        </w:r>
        <w:r>
          <w:rPr>
            <w:spacing w:val="-10"/>
          </w:rPr>
          <w:t>式</w:t>
        </w:r>
        <w:r>
          <w:rPr>
            <w:rFonts w:ascii="Times New Roman" w:eastAsia="Times New Roman"/>
          </w:rPr>
          <w:tab/>
        </w:r>
        <w:r>
          <w:rPr>
            <w:spacing w:val="-5"/>
          </w:rPr>
          <w:t>11</w:t>
        </w:r>
      </w:hyperlink>
    </w:p>
    <w:p>
      <w:pPr>
        <w:pStyle w:val="BodyText"/>
        <w:tabs>
          <w:tab w:pos="9572" w:val="right" w:leader="dot"/>
        </w:tabs>
        <w:spacing w:before="129"/>
        <w:ind w:left="218"/>
      </w:pPr>
      <w:hyperlink w:history="true" w:anchor="_bookmark20">
        <w:r>
          <w:rPr/>
          <w:t>附录</w:t>
        </w:r>
        <w:r>
          <w:rPr>
            <w:spacing w:val="-53"/>
          </w:rPr>
          <w:t> </w:t>
        </w:r>
        <w:r>
          <w:rPr/>
          <w:t>B</w:t>
        </w:r>
        <w:r>
          <w:rPr>
            <w:spacing w:val="27"/>
            <w:w w:val="150"/>
          </w:rPr>
          <w:t> </w:t>
        </w:r>
        <w:r>
          <w:rPr/>
          <w:t>（资料性）</w:t>
        </w:r>
        <w:r>
          <w:rPr>
            <w:spacing w:val="-10"/>
          </w:rPr>
          <w:t> </w:t>
        </w:r>
        <w:r>
          <w:rPr/>
          <w:t>餐饮外卖平台内商户场所图片要</w:t>
        </w:r>
        <w:r>
          <w:rPr>
            <w:spacing w:val="-10"/>
          </w:rPr>
          <w:t>求</w:t>
        </w:r>
        <w:r>
          <w:rPr>
            <w:rFonts w:ascii="Times New Roman" w:eastAsia="Times New Roman"/>
          </w:rPr>
          <w:tab/>
        </w:r>
        <w:r>
          <w:rPr>
            <w:spacing w:val="-5"/>
            <w:w w:val="95"/>
          </w:rPr>
          <w:t>12</w:t>
        </w:r>
      </w:hyperlink>
    </w:p>
    <w:p>
      <w:pPr>
        <w:pStyle w:val="BodyText"/>
        <w:tabs>
          <w:tab w:pos="9572" w:val="right" w:leader="dot"/>
        </w:tabs>
        <w:spacing w:before="132"/>
        <w:ind w:left="218"/>
      </w:pPr>
      <w:hyperlink w:history="true" w:anchor="_bookmark21">
        <w:r>
          <w:rPr>
            <w:w w:val="95"/>
          </w:rPr>
          <w:t>参考文</w:t>
        </w:r>
        <w:r>
          <w:rPr>
            <w:spacing w:val="-10"/>
            <w:w w:val="95"/>
          </w:rPr>
          <w:t>献</w:t>
        </w:r>
        <w:r>
          <w:rPr>
            <w:rFonts w:ascii="Times New Roman" w:eastAsia="Times New Roman"/>
          </w:rPr>
          <w:tab/>
        </w:r>
        <w:r>
          <w:rPr>
            <w:spacing w:val="-5"/>
          </w:rPr>
          <w:t>13</w:t>
        </w:r>
      </w:hyperlink>
    </w:p>
    <w:p>
      <w:pPr>
        <w:spacing w:after="0"/>
        <w:sectPr>
          <w:headerReference w:type="default" r:id="rId7"/>
          <w:footerReference w:type="default" r:id="rId8"/>
          <w:pgSz w:w="11910" w:h="16840"/>
          <w:pgMar w:header="1449" w:footer="1141" w:top="1640" w:bottom="1340" w:left="1200" w:right="720"/>
          <w:pgNumType w:start="1"/>
        </w:sectPr>
      </w:pPr>
    </w:p>
    <w:p>
      <w:pPr>
        <w:pStyle w:val="BodyText"/>
        <w:spacing w:before="5"/>
        <w:rPr>
          <w:sz w:val="30"/>
        </w:rPr>
      </w:pPr>
    </w:p>
    <w:p>
      <w:pPr>
        <w:tabs>
          <w:tab w:pos="1180" w:val="left" w:leader="none"/>
        </w:tabs>
        <w:spacing w:before="0"/>
        <w:ind w:left="221" w:right="0" w:firstLine="0"/>
        <w:jc w:val="center"/>
        <w:rPr>
          <w:rFonts w:ascii="黑体" w:eastAsia="黑体"/>
          <w:sz w:val="32"/>
        </w:rPr>
      </w:pPr>
      <w:bookmarkStart w:name="前言" w:id="1"/>
      <w:bookmarkEnd w:id="1"/>
      <w:r>
        <w:rPr/>
      </w:r>
      <w:bookmarkStart w:name="_bookmark0" w:id="2"/>
      <w:bookmarkEnd w:id="2"/>
      <w:r>
        <w:rPr/>
      </w:r>
      <w:r>
        <w:rPr>
          <w:rFonts w:ascii="黑体" w:eastAsia="黑体"/>
          <w:spacing w:val="-10"/>
          <w:sz w:val="32"/>
        </w:rPr>
        <w:t>前</w:t>
      </w:r>
      <w:r>
        <w:rPr>
          <w:rFonts w:ascii="黑体" w:eastAsia="黑体"/>
          <w:sz w:val="32"/>
        </w:rPr>
        <w:tab/>
      </w:r>
      <w:r>
        <w:rPr>
          <w:rFonts w:ascii="黑体" w:eastAsia="黑体"/>
          <w:spacing w:val="-10"/>
          <w:sz w:val="32"/>
        </w:rPr>
        <w:t>言</w:t>
      </w:r>
    </w:p>
    <w:p>
      <w:pPr>
        <w:pStyle w:val="BodyText"/>
        <w:spacing w:before="6"/>
        <w:rPr>
          <w:rFonts w:ascii="黑体"/>
          <w:sz w:val="46"/>
        </w:rPr>
      </w:pPr>
    </w:p>
    <w:p>
      <w:pPr>
        <w:pStyle w:val="BodyText"/>
        <w:spacing w:line="278" w:lineRule="auto"/>
        <w:ind w:left="218" w:right="415" w:firstLine="420"/>
      </w:pPr>
      <w:r>
        <w:rPr/>
        <w:t>本文件按照GB/T</w:t>
      </w:r>
      <w:r>
        <w:rPr>
          <w:spacing w:val="-11"/>
        </w:rPr>
        <w:t> </w:t>
      </w:r>
      <w:r>
        <w:rPr/>
        <w:t>1.1—2020《标准化</w:t>
      </w:r>
      <w:r>
        <w:rPr/>
        <w:t>工</w:t>
      </w:r>
      <w:r>
        <w:rPr/>
        <w:t>作</w:t>
      </w:r>
      <w:r>
        <w:rPr>
          <w:spacing w:val="9"/>
        </w:rPr>
        <w:t>导则 第</w:t>
      </w:r>
      <w:r>
        <w:rPr/>
        <w:t>1部分：标</w:t>
      </w:r>
      <w:r>
        <w:rPr/>
        <w:t>准</w:t>
      </w:r>
      <w:r>
        <w:rPr/>
        <w:t>化</w:t>
      </w:r>
      <w:r>
        <w:rPr/>
        <w:t>文件的</w:t>
      </w:r>
      <w:r>
        <w:rPr/>
        <w:t>结</w:t>
      </w:r>
      <w:r>
        <w:rPr/>
        <w:t>构</w:t>
      </w:r>
      <w:r>
        <w:rPr/>
        <w:t>和起草规则</w:t>
      </w:r>
      <w:r>
        <w:rPr/>
        <w:t>》</w:t>
      </w:r>
      <w:r>
        <w:rPr/>
        <w:t>的</w:t>
      </w:r>
      <w:r>
        <w:rPr/>
        <w:t>规定</w:t>
      </w:r>
      <w:r>
        <w:rPr>
          <w:spacing w:val="-4"/>
        </w:rPr>
        <w:t>起草。</w:t>
      </w:r>
    </w:p>
    <w:p>
      <w:pPr>
        <w:pStyle w:val="BodyText"/>
        <w:spacing w:line="278" w:lineRule="auto"/>
        <w:ind w:left="638" w:right="1576"/>
      </w:pPr>
      <w:r>
        <w:rPr>
          <w:spacing w:val="-1"/>
          <w:w w:val="99"/>
        </w:rPr>
        <w:t>请注意本文件的某些内容可能涉及专利，本文件的发布机构不承担识别专利的责任。本文件由全国平台经济治理标准化技术委员会（</w:t>
      </w:r>
      <w:r>
        <w:rPr>
          <w:spacing w:val="1"/>
          <w:w w:val="99"/>
        </w:rPr>
        <w:t>SAC</w:t>
      </w:r>
      <w:r>
        <w:rPr>
          <w:spacing w:val="-2"/>
          <w:w w:val="99"/>
        </w:rPr>
        <w:t>/</w:t>
      </w:r>
      <w:r>
        <w:rPr>
          <w:spacing w:val="1"/>
          <w:w w:val="99"/>
        </w:rPr>
        <w:t>TC6</w:t>
      </w:r>
      <w:r>
        <w:rPr>
          <w:spacing w:val="-2"/>
          <w:w w:val="99"/>
        </w:rPr>
        <w:t>1</w:t>
      </w:r>
      <w:r>
        <w:rPr>
          <w:spacing w:val="1"/>
          <w:w w:val="99"/>
        </w:rPr>
        <w:t>1</w:t>
      </w:r>
      <w:r>
        <w:rPr>
          <w:spacing w:val="2"/>
          <w:w w:val="99"/>
        </w:rPr>
        <w:t>）</w:t>
      </w:r>
      <w:r>
        <w:rPr>
          <w:spacing w:val="-1"/>
          <w:w w:val="99"/>
        </w:rPr>
        <w:t>提出并归口。</w:t>
      </w:r>
    </w:p>
    <w:p>
      <w:pPr>
        <w:pStyle w:val="BodyText"/>
        <w:spacing w:line="278" w:lineRule="auto"/>
        <w:ind w:left="638" w:right="7456"/>
      </w:pPr>
      <w:r>
        <w:rPr>
          <w:spacing w:val="-2"/>
        </w:rPr>
        <w:t>本文件起草单位：</w:t>
      </w:r>
      <w:r>
        <w:rPr>
          <w:spacing w:val="-2"/>
        </w:rPr>
        <w:t> 本文件主要起草人：</w:t>
      </w:r>
    </w:p>
    <w:p>
      <w:pPr>
        <w:spacing w:after="0" w:line="278" w:lineRule="auto"/>
        <w:sectPr>
          <w:pgSz w:w="11910" w:h="16840"/>
          <w:pgMar w:header="1449" w:footer="1141" w:top="1640" w:bottom="1340" w:left="1200" w:right="720"/>
        </w:sectPr>
      </w:pPr>
    </w:p>
    <w:p>
      <w:pPr>
        <w:pStyle w:val="BodyText"/>
        <w:spacing w:before="5"/>
        <w:rPr>
          <w:sz w:val="20"/>
        </w:rPr>
      </w:pPr>
    </w:p>
    <w:p>
      <w:pPr>
        <w:pStyle w:val="Heading1"/>
        <w:ind w:left="101" w:right="293"/>
      </w:pPr>
      <w:r>
        <w:rPr>
          <w:w w:val="95"/>
        </w:rPr>
        <w:t>外卖</w:t>
      </w:r>
      <w:r>
        <w:rPr>
          <w:w w:val="95"/>
        </w:rPr>
        <w:t>平</w:t>
      </w:r>
      <w:r>
        <w:rPr>
          <w:w w:val="95"/>
        </w:rPr>
        <w:t>台</w:t>
      </w:r>
      <w:r>
        <w:rPr>
          <w:w w:val="95"/>
        </w:rPr>
        <w:t>服</w:t>
      </w:r>
      <w:r>
        <w:rPr>
          <w:w w:val="95"/>
        </w:rPr>
        <w:t>务</w:t>
      </w:r>
      <w:r>
        <w:rPr>
          <w:w w:val="95"/>
        </w:rPr>
        <w:t>管</w:t>
      </w:r>
      <w:r>
        <w:rPr>
          <w:w w:val="95"/>
        </w:rPr>
        <w:t>理</w:t>
      </w:r>
      <w:r>
        <w:rPr>
          <w:w w:val="95"/>
        </w:rPr>
        <w:t>基</w:t>
      </w:r>
      <w:r>
        <w:rPr>
          <w:w w:val="95"/>
        </w:rPr>
        <w:t>本</w:t>
      </w:r>
      <w:r>
        <w:rPr>
          <w:spacing w:val="-5"/>
          <w:w w:val="95"/>
        </w:rPr>
        <w:t>要求</w:t>
      </w:r>
    </w:p>
    <w:p>
      <w:pPr>
        <w:pStyle w:val="BodyText"/>
        <w:rPr>
          <w:rFonts w:ascii="黑体"/>
          <w:sz w:val="20"/>
        </w:rPr>
      </w:pPr>
    </w:p>
    <w:p>
      <w:pPr>
        <w:pStyle w:val="BodyText"/>
        <w:spacing w:before="11"/>
        <w:rPr>
          <w:rFonts w:ascii="黑体"/>
          <w:sz w:val="28"/>
        </w:rPr>
      </w:pPr>
    </w:p>
    <w:p>
      <w:pPr>
        <w:pStyle w:val="ListParagraph"/>
        <w:numPr>
          <w:ilvl w:val="0"/>
          <w:numId w:val="2"/>
        </w:numPr>
        <w:tabs>
          <w:tab w:pos="533" w:val="left" w:leader="none"/>
        </w:tabs>
        <w:spacing w:line="240" w:lineRule="auto" w:before="70" w:after="0"/>
        <w:ind w:left="532" w:right="0" w:hanging="315"/>
        <w:jc w:val="left"/>
        <w:rPr>
          <w:rFonts w:ascii="黑体" w:eastAsia="黑体"/>
          <w:sz w:val="21"/>
        </w:rPr>
      </w:pPr>
      <w:bookmarkStart w:name="1　范围" w:id="3"/>
      <w:bookmarkEnd w:id="3"/>
      <w:r>
        <w:rPr/>
      </w:r>
      <w:bookmarkStart w:name="_bookmark1" w:id="4"/>
      <w:bookmarkEnd w:id="4"/>
      <w:r>
        <w:rPr>
          <w:rFonts w:ascii="黑体" w:eastAsia="黑体"/>
          <w:w w:val="95"/>
          <w:sz w:val="21"/>
        </w:rPr>
        <w:t>范</w:t>
      </w:r>
      <w:r>
        <w:rPr>
          <w:rFonts w:ascii="黑体" w:eastAsia="黑体"/>
          <w:spacing w:val="-10"/>
          <w:sz w:val="21"/>
        </w:rPr>
        <w:t>围</w:t>
      </w:r>
    </w:p>
    <w:p>
      <w:pPr>
        <w:pStyle w:val="BodyText"/>
        <w:spacing w:before="9"/>
        <w:rPr>
          <w:rFonts w:ascii="黑体"/>
          <w:sz w:val="27"/>
        </w:rPr>
      </w:pPr>
    </w:p>
    <w:p>
      <w:pPr>
        <w:pStyle w:val="BodyText"/>
        <w:spacing w:line="278" w:lineRule="auto"/>
        <w:ind w:left="218" w:right="412" w:firstLine="420"/>
      </w:pPr>
      <w:r>
        <w:rPr>
          <w:spacing w:val="-6"/>
          <w:w w:val="99"/>
        </w:rPr>
        <w:t>本文件规定了外卖平台的总体要求、价格行为管理要求、商户管理、配送员权益保障等服务管理基</w:t>
      </w:r>
      <w:r>
        <w:rPr>
          <w:spacing w:val="-1"/>
          <w:w w:val="99"/>
        </w:rPr>
        <w:t>本要求。</w:t>
      </w:r>
    </w:p>
    <w:p>
      <w:pPr>
        <w:pStyle w:val="BodyText"/>
        <w:spacing w:line="269" w:lineRule="exact"/>
        <w:ind w:left="638"/>
      </w:pPr>
      <w:r>
        <w:rPr>
          <w:spacing w:val="-1"/>
          <w:w w:val="95"/>
        </w:rPr>
        <w:t>本文件适用于餐饮外卖平台的服务管理。药品及其他消费品可参照使用。</w:t>
      </w:r>
    </w:p>
    <w:p>
      <w:pPr>
        <w:pStyle w:val="BodyText"/>
        <w:spacing w:before="9"/>
        <w:rPr>
          <w:sz w:val="27"/>
        </w:rPr>
      </w:pPr>
    </w:p>
    <w:p>
      <w:pPr>
        <w:pStyle w:val="ListParagraph"/>
        <w:numPr>
          <w:ilvl w:val="0"/>
          <w:numId w:val="2"/>
        </w:numPr>
        <w:tabs>
          <w:tab w:pos="533" w:val="left" w:leader="none"/>
        </w:tabs>
        <w:spacing w:line="240" w:lineRule="auto" w:before="0" w:after="0"/>
        <w:ind w:left="532" w:right="0" w:hanging="315"/>
        <w:jc w:val="left"/>
        <w:rPr>
          <w:rFonts w:ascii="黑体" w:eastAsia="黑体"/>
          <w:sz w:val="21"/>
        </w:rPr>
      </w:pPr>
      <w:bookmarkStart w:name="2　规范性引用文件" w:id="5"/>
      <w:bookmarkEnd w:id="5"/>
      <w:r>
        <w:rPr/>
      </w:r>
      <w:bookmarkStart w:name="_bookmark2" w:id="6"/>
      <w:bookmarkEnd w:id="6"/>
      <w:r>
        <w:rPr>
          <w:rFonts w:ascii="黑体" w:eastAsia="黑体"/>
          <w:spacing w:val="-2"/>
          <w:w w:val="95"/>
          <w:sz w:val="21"/>
        </w:rPr>
        <w:t>规范性引用文件</w:t>
      </w:r>
    </w:p>
    <w:p>
      <w:pPr>
        <w:pStyle w:val="BodyText"/>
        <w:spacing w:before="9"/>
        <w:rPr>
          <w:rFonts w:ascii="黑体"/>
          <w:sz w:val="27"/>
        </w:rPr>
      </w:pPr>
    </w:p>
    <w:p>
      <w:pPr>
        <w:pStyle w:val="BodyText"/>
        <w:spacing w:line="278" w:lineRule="auto"/>
        <w:ind w:left="218" w:right="308" w:firstLine="420"/>
      </w:pPr>
      <w:r>
        <w:rPr>
          <w:spacing w:val="-8"/>
          <w:w w:val="99"/>
        </w:rPr>
        <w:t>下列文件中的内容通过文中的规范性引用而构成本文件必不可少的条款。其中，注日期的引用文件，</w:t>
      </w:r>
      <w:r>
        <w:rPr>
          <w:spacing w:val="-5"/>
          <w:w w:val="99"/>
        </w:rPr>
        <w:t>仅该日期对应的版本适用于本文件；不注日期的引用文件，其最新版本</w:t>
      </w:r>
      <w:r>
        <w:rPr>
          <w:spacing w:val="2"/>
          <w:w w:val="99"/>
        </w:rPr>
        <w:t>（</w:t>
      </w:r>
      <w:r>
        <w:rPr>
          <w:spacing w:val="-1"/>
          <w:w w:val="99"/>
        </w:rPr>
        <w:t>包括所有的修改单</w:t>
      </w:r>
      <w:r>
        <w:rPr>
          <w:spacing w:val="-25"/>
          <w:w w:val="99"/>
        </w:rPr>
        <w:t>）</w:t>
      </w:r>
      <w:r>
        <w:rPr>
          <w:spacing w:val="-1"/>
          <w:w w:val="99"/>
        </w:rPr>
        <w:t>适用于本</w:t>
      </w:r>
      <w:r>
        <w:rPr>
          <w:w w:val="99"/>
        </w:rPr>
        <w:t>文件。</w:t>
      </w:r>
    </w:p>
    <w:p>
      <w:pPr>
        <w:pStyle w:val="BodyText"/>
        <w:spacing w:line="269" w:lineRule="exact"/>
        <w:ind w:left="638"/>
      </w:pPr>
      <w:r>
        <w:rPr/>
        <w:t>GB/T</w:t>
      </w:r>
      <w:r>
        <w:rPr>
          <w:spacing w:val="-12"/>
        </w:rPr>
        <w:t> </w:t>
      </w:r>
      <w:r>
        <w:rPr/>
        <w:t>37401—2019</w:t>
      </w:r>
      <w:r>
        <w:rPr>
          <w:spacing w:val="29"/>
          <w:w w:val="150"/>
        </w:rPr>
        <w:t> </w:t>
      </w:r>
      <w:r>
        <w:rPr>
          <w:spacing w:val="-1"/>
        </w:rPr>
        <w:t>电子商务平台服务保障技术要求</w:t>
      </w:r>
    </w:p>
    <w:p>
      <w:pPr>
        <w:pStyle w:val="BodyText"/>
        <w:spacing w:before="9"/>
        <w:rPr>
          <w:sz w:val="27"/>
        </w:rPr>
      </w:pPr>
    </w:p>
    <w:p>
      <w:pPr>
        <w:pStyle w:val="ListParagraph"/>
        <w:numPr>
          <w:ilvl w:val="0"/>
          <w:numId w:val="2"/>
        </w:numPr>
        <w:tabs>
          <w:tab w:pos="533" w:val="left" w:leader="none"/>
        </w:tabs>
        <w:spacing w:line="240" w:lineRule="auto" w:before="0" w:after="0"/>
        <w:ind w:left="532" w:right="0" w:hanging="315"/>
        <w:jc w:val="left"/>
        <w:rPr>
          <w:rFonts w:ascii="黑体" w:eastAsia="黑体"/>
          <w:sz w:val="21"/>
        </w:rPr>
      </w:pPr>
      <w:bookmarkStart w:name="3　术语和定义" w:id="7"/>
      <w:bookmarkEnd w:id="7"/>
      <w:r>
        <w:rPr/>
      </w:r>
      <w:bookmarkStart w:name="_bookmark3" w:id="8"/>
      <w:bookmarkEnd w:id="8"/>
      <w:r>
        <w:rPr>
          <w:rFonts w:ascii="黑体" w:eastAsia="黑体"/>
          <w:spacing w:val="-2"/>
          <w:w w:val="95"/>
          <w:sz w:val="21"/>
        </w:rPr>
        <w:t>术语和定义</w:t>
      </w:r>
    </w:p>
    <w:p>
      <w:pPr>
        <w:pStyle w:val="BodyText"/>
        <w:spacing w:before="3"/>
        <w:rPr>
          <w:rFonts w:ascii="黑体"/>
          <w:sz w:val="22"/>
        </w:rPr>
      </w:pPr>
    </w:p>
    <w:p>
      <w:pPr>
        <w:pStyle w:val="BodyText"/>
        <w:spacing w:before="70"/>
        <w:ind w:left="638"/>
      </w:pPr>
      <w:r>
        <w:rPr>
          <w:spacing w:val="-1"/>
          <w:w w:val="95"/>
        </w:rPr>
        <w:t>下列术语和定义适用于本文件。</w:t>
      </w:r>
    </w:p>
    <w:p>
      <w:pPr>
        <w:pStyle w:val="BodyText"/>
        <w:spacing w:before="43"/>
        <w:ind w:left="218"/>
        <w:rPr>
          <w:rFonts w:ascii="黑体"/>
        </w:rPr>
      </w:pPr>
      <w:r>
        <w:rPr>
          <w:rFonts w:ascii="黑体"/>
          <w:spacing w:val="-5"/>
        </w:rPr>
        <w:t>3.1</w:t>
      </w:r>
    </w:p>
    <w:p>
      <w:pPr>
        <w:pStyle w:val="BodyText"/>
        <w:spacing w:before="43"/>
        <w:ind w:left="638"/>
        <w:rPr>
          <w:rFonts w:ascii="黑体" w:eastAsia="黑体"/>
        </w:rPr>
      </w:pPr>
      <w:r>
        <w:rPr>
          <w:rFonts w:ascii="黑体" w:eastAsia="黑体"/>
          <w:spacing w:val="-2"/>
        </w:rPr>
        <w:t>外卖平台 </w:t>
      </w:r>
      <w:r>
        <w:rPr>
          <w:rFonts w:ascii="黑体" w:eastAsia="黑体"/>
        </w:rPr>
        <w:t>delivery</w:t>
      </w:r>
      <w:r>
        <w:rPr>
          <w:rFonts w:ascii="黑体" w:eastAsia="黑体"/>
          <w:spacing w:val="-8"/>
        </w:rPr>
        <w:t> </w:t>
      </w:r>
      <w:r>
        <w:rPr>
          <w:rFonts w:ascii="黑体" w:eastAsia="黑体"/>
          <w:spacing w:val="-2"/>
        </w:rPr>
        <w:t>platform</w:t>
      </w:r>
    </w:p>
    <w:p>
      <w:pPr>
        <w:pStyle w:val="BodyText"/>
        <w:spacing w:before="43"/>
        <w:ind w:left="638"/>
      </w:pPr>
      <w:r>
        <w:rPr>
          <w:w w:val="95"/>
        </w:rPr>
        <w:t>平</w:t>
      </w:r>
      <w:r>
        <w:rPr>
          <w:spacing w:val="-10"/>
        </w:rPr>
        <w:t>台</w:t>
      </w:r>
    </w:p>
    <w:p>
      <w:pPr>
        <w:pStyle w:val="BodyText"/>
        <w:spacing w:before="43"/>
        <w:ind w:left="638"/>
      </w:pPr>
      <w:r>
        <w:rPr>
          <w:spacing w:val="-1"/>
          <w:w w:val="95"/>
        </w:rPr>
        <w:t>在餐饮外卖服务中为交易双方或者多方提供网络经营场所、交易撮合、信息发布等服务，供交易双</w:t>
      </w:r>
    </w:p>
    <w:p>
      <w:pPr>
        <w:pStyle w:val="BodyText"/>
        <w:spacing w:before="43"/>
        <w:ind w:left="218"/>
      </w:pPr>
      <w:r>
        <w:rPr>
          <w:spacing w:val="-1"/>
          <w:w w:val="95"/>
        </w:rPr>
        <w:t>方或者多方独立开展交易活动的法人或非法人组织。</w:t>
      </w:r>
    </w:p>
    <w:p>
      <w:pPr>
        <w:pStyle w:val="BodyText"/>
        <w:spacing w:before="43"/>
        <w:ind w:left="218"/>
        <w:rPr>
          <w:rFonts w:ascii="黑体"/>
        </w:rPr>
      </w:pPr>
      <w:r>
        <w:rPr>
          <w:rFonts w:ascii="黑体"/>
          <w:spacing w:val="-5"/>
        </w:rPr>
        <w:t>3.2</w:t>
      </w:r>
    </w:p>
    <w:p>
      <w:pPr>
        <w:pStyle w:val="BodyText"/>
        <w:spacing w:before="43"/>
        <w:ind w:left="638"/>
        <w:rPr>
          <w:rFonts w:ascii="黑体" w:eastAsia="黑体"/>
        </w:rPr>
      </w:pPr>
      <w:r>
        <w:rPr>
          <w:rFonts w:ascii="黑体" w:eastAsia="黑体"/>
          <w:spacing w:val="-1"/>
        </w:rPr>
        <w:t>平台内商户 </w:t>
      </w:r>
      <w:r>
        <w:rPr>
          <w:rFonts w:ascii="黑体" w:eastAsia="黑体"/>
        </w:rPr>
        <w:t>merchants</w:t>
      </w:r>
      <w:r>
        <w:rPr>
          <w:rFonts w:ascii="黑体" w:eastAsia="黑体"/>
          <w:spacing w:val="-4"/>
        </w:rPr>
        <w:t> </w:t>
      </w:r>
      <w:r>
        <w:rPr>
          <w:rFonts w:ascii="黑体" w:eastAsia="黑体"/>
        </w:rPr>
        <w:t>within</w:t>
      </w:r>
      <w:r>
        <w:rPr>
          <w:rFonts w:ascii="黑体" w:eastAsia="黑体"/>
          <w:spacing w:val="-7"/>
        </w:rPr>
        <w:t> </w:t>
      </w:r>
      <w:r>
        <w:rPr>
          <w:rFonts w:ascii="黑体" w:eastAsia="黑体"/>
        </w:rPr>
        <w:t>the</w:t>
      </w:r>
      <w:r>
        <w:rPr>
          <w:rFonts w:ascii="黑体" w:eastAsia="黑体"/>
          <w:spacing w:val="-6"/>
        </w:rPr>
        <w:t> </w:t>
      </w:r>
      <w:r>
        <w:rPr>
          <w:rFonts w:ascii="黑体" w:eastAsia="黑体"/>
          <w:spacing w:val="-2"/>
        </w:rPr>
        <w:t>platform</w:t>
      </w:r>
    </w:p>
    <w:p>
      <w:pPr>
        <w:pStyle w:val="BodyText"/>
        <w:spacing w:before="42"/>
        <w:ind w:left="638"/>
      </w:pPr>
      <w:r>
        <w:rPr>
          <w:w w:val="95"/>
        </w:rPr>
        <w:t>商</w:t>
      </w:r>
      <w:r>
        <w:rPr>
          <w:spacing w:val="-10"/>
        </w:rPr>
        <w:t>户</w:t>
      </w:r>
    </w:p>
    <w:p>
      <w:pPr>
        <w:pStyle w:val="BodyText"/>
        <w:spacing w:before="43"/>
        <w:ind w:left="638"/>
      </w:pPr>
      <w:r>
        <w:rPr>
          <w:spacing w:val="-1"/>
          <w:w w:val="95"/>
        </w:rPr>
        <w:t>通过外卖平台开展餐饮外卖网络交易活动的网络交易经营者。</w:t>
      </w:r>
    </w:p>
    <w:p>
      <w:pPr>
        <w:pStyle w:val="BodyText"/>
        <w:spacing w:before="43"/>
        <w:ind w:left="218"/>
        <w:rPr>
          <w:rFonts w:ascii="黑体"/>
        </w:rPr>
      </w:pPr>
      <w:r>
        <w:rPr>
          <w:rFonts w:ascii="黑体"/>
          <w:spacing w:val="-5"/>
        </w:rPr>
        <w:t>3.3</w:t>
      </w:r>
    </w:p>
    <w:p>
      <w:pPr>
        <w:pStyle w:val="BodyText"/>
        <w:spacing w:before="43"/>
        <w:ind w:left="638"/>
        <w:rPr>
          <w:rFonts w:ascii="黑体" w:eastAsia="黑体"/>
        </w:rPr>
      </w:pPr>
      <w:r>
        <w:rPr>
          <w:rFonts w:ascii="黑体" w:eastAsia="黑体"/>
          <w:spacing w:val="-1"/>
        </w:rPr>
        <w:t>平台价格促销 </w:t>
      </w:r>
      <w:r>
        <w:rPr>
          <w:rFonts w:ascii="黑体" w:eastAsia="黑体"/>
        </w:rPr>
        <w:t>platform</w:t>
      </w:r>
      <w:r>
        <w:rPr>
          <w:rFonts w:ascii="黑体" w:eastAsia="黑体"/>
          <w:spacing w:val="-9"/>
        </w:rPr>
        <w:t> </w:t>
      </w:r>
      <w:r>
        <w:rPr>
          <w:rFonts w:ascii="黑体" w:eastAsia="黑体"/>
        </w:rPr>
        <w:t>price</w:t>
      </w:r>
      <w:r>
        <w:rPr>
          <w:rFonts w:ascii="黑体" w:eastAsia="黑体"/>
          <w:spacing w:val="-7"/>
        </w:rPr>
        <w:t> </w:t>
      </w:r>
      <w:r>
        <w:rPr>
          <w:rFonts w:ascii="黑体" w:eastAsia="黑体"/>
          <w:spacing w:val="-2"/>
        </w:rPr>
        <w:t>promotion</w:t>
      </w:r>
    </w:p>
    <w:p>
      <w:pPr>
        <w:pStyle w:val="BodyText"/>
        <w:spacing w:before="43"/>
        <w:ind w:left="638"/>
      </w:pPr>
      <w:r>
        <w:rPr>
          <w:spacing w:val="-1"/>
          <w:w w:val="95"/>
        </w:rPr>
        <w:t>由平台发起和出资的，在一定期限内或一定条件下使消费者普遍享受到的折抵价格的让利行为。</w:t>
      </w:r>
    </w:p>
    <w:p>
      <w:pPr>
        <w:pStyle w:val="BodyText"/>
        <w:spacing w:before="43"/>
        <w:ind w:left="218"/>
        <w:rPr>
          <w:rFonts w:ascii="黑体"/>
        </w:rPr>
      </w:pPr>
      <w:r>
        <w:rPr>
          <w:rFonts w:ascii="黑体"/>
          <w:spacing w:val="-5"/>
        </w:rPr>
        <w:t>3.4</w:t>
      </w:r>
    </w:p>
    <w:p>
      <w:pPr>
        <w:pStyle w:val="BodyText"/>
        <w:spacing w:before="43"/>
        <w:ind w:left="638"/>
        <w:rPr>
          <w:rFonts w:ascii="黑体" w:eastAsia="黑体"/>
        </w:rPr>
      </w:pPr>
      <w:r>
        <w:rPr>
          <w:rFonts w:ascii="黑体" w:eastAsia="黑体"/>
          <w:spacing w:val="-2"/>
        </w:rPr>
        <w:t>网约配送员 </w:t>
      </w:r>
      <w:r>
        <w:rPr>
          <w:rFonts w:ascii="黑体" w:eastAsia="黑体"/>
        </w:rPr>
        <w:t>on-demand</w:t>
      </w:r>
      <w:r>
        <w:rPr>
          <w:rFonts w:ascii="黑体" w:eastAsia="黑体"/>
          <w:spacing w:val="-7"/>
        </w:rPr>
        <w:t> </w:t>
      </w:r>
      <w:r>
        <w:rPr>
          <w:rFonts w:ascii="黑体" w:eastAsia="黑体"/>
        </w:rPr>
        <w:t>delivery</w:t>
      </w:r>
      <w:r>
        <w:rPr>
          <w:rFonts w:ascii="黑体" w:eastAsia="黑体"/>
          <w:spacing w:val="-9"/>
        </w:rPr>
        <w:t> </w:t>
      </w:r>
      <w:r>
        <w:rPr>
          <w:rFonts w:ascii="黑体" w:eastAsia="黑体"/>
          <w:spacing w:val="-2"/>
        </w:rPr>
        <w:t>worker</w:t>
      </w:r>
    </w:p>
    <w:p>
      <w:pPr>
        <w:pStyle w:val="BodyText"/>
        <w:spacing w:before="43"/>
        <w:ind w:left="638"/>
      </w:pPr>
      <w:r>
        <w:rPr>
          <w:spacing w:val="-4"/>
          <w:w w:val="95"/>
        </w:rPr>
        <w:t>配送员</w:t>
      </w:r>
    </w:p>
    <w:p>
      <w:pPr>
        <w:pStyle w:val="BodyText"/>
        <w:spacing w:before="43"/>
        <w:ind w:left="638"/>
      </w:pPr>
      <w:r>
        <w:rPr>
          <w:w w:val="95"/>
        </w:rPr>
        <w:t>通过互联</w:t>
      </w:r>
      <w:r>
        <w:rPr>
          <w:w w:val="95"/>
        </w:rPr>
        <w:t>网</w:t>
      </w:r>
      <w:r>
        <w:rPr>
          <w:w w:val="95"/>
        </w:rPr>
        <w:t>平</w:t>
      </w:r>
      <w:r>
        <w:rPr>
          <w:w w:val="95"/>
        </w:rPr>
        <w:t>台</w:t>
      </w:r>
      <w:r>
        <w:rPr>
          <w:w w:val="95"/>
        </w:rPr>
        <w:t>等</w:t>
      </w:r>
      <w:r>
        <w:rPr>
          <w:w w:val="95"/>
        </w:rPr>
        <w:t>,从事接收</w:t>
      </w:r>
      <w:r>
        <w:rPr>
          <w:w w:val="95"/>
        </w:rPr>
        <w:t>、</w:t>
      </w:r>
      <w:r>
        <w:rPr>
          <w:w w:val="95"/>
        </w:rPr>
        <w:t>验</w:t>
      </w:r>
      <w:r>
        <w:rPr>
          <w:w w:val="95"/>
        </w:rPr>
        <w:t>视客户订单</w:t>
      </w:r>
      <w:r>
        <w:rPr>
          <w:w w:val="95"/>
        </w:rPr>
        <w:t>并</w:t>
      </w:r>
      <w:r>
        <w:rPr>
          <w:w w:val="95"/>
        </w:rPr>
        <w:t>根</w:t>
      </w:r>
      <w:r>
        <w:rPr>
          <w:w w:val="95"/>
        </w:rPr>
        <w:t>据订单</w:t>
      </w:r>
      <w:r>
        <w:rPr>
          <w:w w:val="95"/>
        </w:rPr>
        <w:t>需</w:t>
      </w:r>
      <w:r>
        <w:rPr>
          <w:w w:val="95"/>
        </w:rPr>
        <w:t>求</w:t>
      </w:r>
      <w:r>
        <w:rPr>
          <w:w w:val="95"/>
        </w:rPr>
        <w:t>，</w:t>
      </w:r>
      <w:r>
        <w:rPr>
          <w:w w:val="95"/>
        </w:rPr>
        <w:t>按</w:t>
      </w:r>
      <w:r>
        <w:rPr>
          <w:w w:val="95"/>
        </w:rPr>
        <w:t>照</w:t>
      </w:r>
      <w:r>
        <w:rPr>
          <w:w w:val="95"/>
        </w:rPr>
        <w:t>平</w:t>
      </w:r>
      <w:r>
        <w:rPr>
          <w:w w:val="95"/>
        </w:rPr>
        <w:t>台配送</w:t>
      </w:r>
      <w:r>
        <w:rPr>
          <w:w w:val="95"/>
        </w:rPr>
        <w:t>要</w:t>
      </w:r>
      <w:r>
        <w:rPr>
          <w:w w:val="95"/>
        </w:rPr>
        <w:t>求</w:t>
      </w:r>
      <w:r>
        <w:rPr>
          <w:spacing w:val="-2"/>
          <w:w w:val="95"/>
        </w:rPr>
        <w:t>及平台智能规划</w:t>
      </w:r>
    </w:p>
    <w:p>
      <w:pPr>
        <w:pStyle w:val="BodyText"/>
        <w:spacing w:before="43"/>
        <w:ind w:left="218"/>
      </w:pPr>
      <w:r>
        <w:rPr>
          <w:spacing w:val="-1"/>
          <w:w w:val="95"/>
        </w:rPr>
        <w:t>路线，在一定时间内将订单物品递送至指定地点的服务人员。</w:t>
      </w:r>
    </w:p>
    <w:p>
      <w:pPr>
        <w:pStyle w:val="BodyText"/>
        <w:spacing w:before="43"/>
        <w:ind w:left="218"/>
        <w:rPr>
          <w:rFonts w:ascii="黑体"/>
        </w:rPr>
      </w:pPr>
      <w:r>
        <w:rPr>
          <w:rFonts w:ascii="黑体"/>
          <w:spacing w:val="-5"/>
        </w:rPr>
        <w:t>3.5</w:t>
      </w:r>
    </w:p>
    <w:p>
      <w:pPr>
        <w:pStyle w:val="BodyText"/>
        <w:spacing w:before="43"/>
        <w:ind w:left="638"/>
        <w:rPr>
          <w:rFonts w:ascii="黑体" w:eastAsia="黑体"/>
        </w:rPr>
      </w:pPr>
      <w:r>
        <w:rPr>
          <w:rFonts w:ascii="黑体" w:eastAsia="黑体"/>
          <w:spacing w:val="-2"/>
        </w:rPr>
        <w:t>技术服务费 </w:t>
      </w:r>
      <w:r>
        <w:rPr>
          <w:rFonts w:ascii="黑体" w:eastAsia="黑体"/>
        </w:rPr>
        <w:t>technology</w:t>
      </w:r>
      <w:r>
        <w:rPr>
          <w:rFonts w:ascii="黑体" w:eastAsia="黑体"/>
          <w:spacing w:val="-8"/>
        </w:rPr>
        <w:t> </w:t>
      </w:r>
      <w:r>
        <w:rPr>
          <w:rFonts w:ascii="黑体" w:eastAsia="黑体"/>
        </w:rPr>
        <w:t>service</w:t>
      </w:r>
      <w:r>
        <w:rPr>
          <w:rFonts w:ascii="黑体" w:eastAsia="黑体"/>
          <w:spacing w:val="-8"/>
        </w:rPr>
        <w:t> </w:t>
      </w:r>
      <w:r>
        <w:rPr>
          <w:rFonts w:ascii="黑体" w:eastAsia="黑体"/>
          <w:spacing w:val="-5"/>
        </w:rPr>
        <w:t>fee</w:t>
      </w:r>
    </w:p>
    <w:p>
      <w:pPr>
        <w:pStyle w:val="BodyText"/>
        <w:spacing w:line="278" w:lineRule="auto" w:before="43"/>
        <w:ind w:left="218" w:right="412" w:firstLine="420"/>
      </w:pPr>
      <w:r>
        <w:rPr>
          <w:spacing w:val="-7"/>
          <w:w w:val="99"/>
        </w:rPr>
        <w:t>平台因向商户提供信息展示、交易撮合、交易处理、订单管理、经营数据分析等线上运营服务从每</w:t>
      </w:r>
      <w:r>
        <w:rPr>
          <w:spacing w:val="-1"/>
          <w:w w:val="99"/>
        </w:rPr>
        <w:t>笔订单中按照事先约定的费率收取的费用。</w:t>
      </w:r>
    </w:p>
    <w:p>
      <w:pPr>
        <w:pStyle w:val="BodyText"/>
        <w:spacing w:line="269" w:lineRule="exact"/>
        <w:ind w:left="218"/>
        <w:rPr>
          <w:rFonts w:ascii="黑体"/>
        </w:rPr>
      </w:pPr>
      <w:r>
        <w:rPr>
          <w:rFonts w:ascii="黑体"/>
          <w:spacing w:val="-5"/>
        </w:rPr>
        <w:t>3.6</w:t>
      </w:r>
    </w:p>
    <w:p>
      <w:pPr>
        <w:pStyle w:val="BodyText"/>
        <w:spacing w:before="43"/>
        <w:ind w:left="638"/>
        <w:rPr>
          <w:rFonts w:ascii="黑体" w:eastAsia="黑体"/>
        </w:rPr>
      </w:pPr>
      <w:r>
        <w:rPr>
          <w:rFonts w:ascii="黑体" w:eastAsia="黑体"/>
          <w:spacing w:val="-1"/>
        </w:rPr>
        <w:t>配送服务费 </w:t>
      </w:r>
      <w:r>
        <w:rPr>
          <w:rFonts w:ascii="黑体" w:eastAsia="黑体"/>
        </w:rPr>
        <w:t>delivery</w:t>
      </w:r>
      <w:r>
        <w:rPr>
          <w:rFonts w:ascii="黑体" w:eastAsia="黑体"/>
          <w:spacing w:val="-7"/>
        </w:rPr>
        <w:t> </w:t>
      </w:r>
      <w:r>
        <w:rPr>
          <w:rFonts w:ascii="黑体" w:eastAsia="黑体"/>
        </w:rPr>
        <w:t>service</w:t>
      </w:r>
      <w:r>
        <w:rPr>
          <w:rFonts w:ascii="黑体" w:eastAsia="黑体"/>
          <w:spacing w:val="-7"/>
        </w:rPr>
        <w:t> </w:t>
      </w:r>
      <w:r>
        <w:rPr>
          <w:rFonts w:ascii="黑体" w:eastAsia="黑体"/>
          <w:spacing w:val="-5"/>
        </w:rPr>
        <w:t>fee</w:t>
      </w:r>
    </w:p>
    <w:p>
      <w:pPr>
        <w:spacing w:after="0"/>
        <w:rPr>
          <w:rFonts w:ascii="黑体" w:eastAsia="黑体"/>
        </w:rPr>
        <w:sectPr>
          <w:headerReference w:type="default" r:id="rId9"/>
          <w:footerReference w:type="default" r:id="rId10"/>
          <w:pgSz w:w="11910" w:h="16840"/>
          <w:pgMar w:header="1449" w:footer="1141" w:top="1640" w:bottom="1340" w:left="1200" w:right="720"/>
          <w:pgNumType w:start="1"/>
        </w:sectPr>
      </w:pPr>
    </w:p>
    <w:p>
      <w:pPr>
        <w:pStyle w:val="BodyText"/>
        <w:spacing w:before="3"/>
        <w:rPr>
          <w:rFonts w:ascii="黑体"/>
          <w:sz w:val="17"/>
        </w:rPr>
      </w:pPr>
    </w:p>
    <w:p>
      <w:pPr>
        <w:pStyle w:val="BodyText"/>
        <w:spacing w:before="70"/>
        <w:ind w:left="638"/>
      </w:pPr>
      <w:r>
        <w:rPr>
          <w:spacing w:val="-1"/>
          <w:w w:val="95"/>
        </w:rPr>
        <w:t>当商户选择平台配送服务时，平台按照事先约定的规则从商户每笔订单中收取的费用。</w:t>
      </w:r>
    </w:p>
    <w:p>
      <w:pPr>
        <w:pStyle w:val="BodyText"/>
        <w:spacing w:before="43"/>
        <w:ind w:left="218"/>
        <w:rPr>
          <w:rFonts w:ascii="黑体"/>
        </w:rPr>
      </w:pPr>
      <w:r>
        <w:rPr>
          <w:rFonts w:ascii="黑体"/>
          <w:spacing w:val="-5"/>
        </w:rPr>
        <w:t>3.7</w:t>
      </w:r>
    </w:p>
    <w:p>
      <w:pPr>
        <w:pStyle w:val="BodyText"/>
        <w:spacing w:before="43"/>
        <w:ind w:left="638"/>
        <w:rPr>
          <w:rFonts w:ascii="黑体" w:eastAsia="黑体"/>
        </w:rPr>
      </w:pPr>
      <w:r>
        <w:rPr>
          <w:rFonts w:ascii="黑体" w:eastAsia="黑体"/>
          <w:spacing w:val="-2"/>
        </w:rPr>
        <w:t>推广服务费 </w:t>
      </w:r>
      <w:r>
        <w:rPr>
          <w:rFonts w:ascii="黑体" w:eastAsia="黑体"/>
        </w:rPr>
        <w:t>marketing</w:t>
      </w:r>
      <w:r>
        <w:rPr>
          <w:rFonts w:ascii="黑体" w:eastAsia="黑体"/>
          <w:spacing w:val="-6"/>
        </w:rPr>
        <w:t> </w:t>
      </w:r>
      <w:r>
        <w:rPr>
          <w:rFonts w:ascii="黑体" w:eastAsia="黑体"/>
        </w:rPr>
        <w:t>service</w:t>
      </w:r>
      <w:r>
        <w:rPr>
          <w:rFonts w:ascii="黑体" w:eastAsia="黑体"/>
          <w:spacing w:val="-8"/>
        </w:rPr>
        <w:t> </w:t>
      </w:r>
      <w:r>
        <w:rPr>
          <w:rFonts w:ascii="黑体" w:eastAsia="黑体"/>
          <w:spacing w:val="-5"/>
        </w:rPr>
        <w:t>fee</w:t>
      </w:r>
    </w:p>
    <w:p>
      <w:pPr>
        <w:pStyle w:val="BodyText"/>
        <w:spacing w:before="43"/>
        <w:ind w:left="638"/>
      </w:pPr>
      <w:r>
        <w:rPr>
          <w:spacing w:val="-1"/>
          <w:w w:val="95"/>
        </w:rPr>
        <w:t>当商户使用平台提供的流量推广工具和广告服务时，平台按照事先约定的规则向商户收取的费用。</w:t>
      </w:r>
    </w:p>
    <w:p>
      <w:pPr>
        <w:pStyle w:val="BodyText"/>
        <w:spacing w:before="43"/>
        <w:ind w:left="218"/>
        <w:rPr>
          <w:rFonts w:ascii="黑体"/>
        </w:rPr>
      </w:pPr>
      <w:r>
        <w:rPr>
          <w:rFonts w:ascii="黑体"/>
          <w:spacing w:val="-5"/>
        </w:rPr>
        <w:t>3.8</w:t>
      </w:r>
    </w:p>
    <w:p>
      <w:pPr>
        <w:pStyle w:val="BodyText"/>
        <w:spacing w:before="43"/>
        <w:ind w:left="638"/>
        <w:rPr>
          <w:rFonts w:ascii="黑体" w:eastAsia="黑体"/>
        </w:rPr>
      </w:pPr>
      <w:r>
        <w:rPr>
          <w:rFonts w:ascii="黑体" w:eastAsia="黑体"/>
          <w:spacing w:val="-1"/>
        </w:rPr>
        <w:t>接单时长 </w:t>
      </w:r>
      <w:r>
        <w:rPr>
          <w:rFonts w:ascii="黑体" w:eastAsia="黑体"/>
        </w:rPr>
        <w:t>order</w:t>
      </w:r>
      <w:r>
        <w:rPr>
          <w:rFonts w:ascii="黑体" w:eastAsia="黑体"/>
          <w:spacing w:val="-7"/>
        </w:rPr>
        <w:t> </w:t>
      </w:r>
      <w:r>
        <w:rPr>
          <w:rFonts w:ascii="黑体" w:eastAsia="黑体"/>
        </w:rPr>
        <w:t>delivery</w:t>
      </w:r>
      <w:r>
        <w:rPr>
          <w:rFonts w:ascii="黑体" w:eastAsia="黑体"/>
          <w:spacing w:val="-7"/>
        </w:rPr>
        <w:t> </w:t>
      </w:r>
      <w:r>
        <w:rPr>
          <w:rFonts w:ascii="黑体" w:eastAsia="黑体"/>
          <w:spacing w:val="-4"/>
        </w:rPr>
        <w:t>time</w:t>
      </w:r>
    </w:p>
    <w:p>
      <w:pPr>
        <w:pStyle w:val="BodyText"/>
        <w:spacing w:before="43"/>
        <w:ind w:left="638"/>
      </w:pPr>
      <w:r>
        <w:rPr>
          <w:spacing w:val="-1"/>
          <w:w w:val="95"/>
        </w:rPr>
        <w:t>配送员从接单到完成配送的整个时长，包括等待取餐、送餐直至配送到客户手中的时间，即实际进</w:t>
      </w:r>
    </w:p>
    <w:p>
      <w:pPr>
        <w:pStyle w:val="BodyText"/>
        <w:spacing w:before="42"/>
        <w:ind w:left="218"/>
      </w:pPr>
      <w:r>
        <w:rPr>
          <w:spacing w:val="-2"/>
          <w:w w:val="95"/>
        </w:rPr>
        <w:t>行配送服务的时间。</w:t>
      </w:r>
    </w:p>
    <w:p>
      <w:pPr>
        <w:pStyle w:val="BodyText"/>
        <w:spacing w:before="9"/>
        <w:rPr>
          <w:sz w:val="27"/>
        </w:rPr>
      </w:pPr>
    </w:p>
    <w:p>
      <w:pPr>
        <w:pStyle w:val="ListParagraph"/>
        <w:numPr>
          <w:ilvl w:val="0"/>
          <w:numId w:val="2"/>
        </w:numPr>
        <w:tabs>
          <w:tab w:pos="533" w:val="left" w:leader="none"/>
        </w:tabs>
        <w:spacing w:line="240" w:lineRule="auto" w:before="0" w:after="0"/>
        <w:ind w:left="532" w:right="0" w:hanging="315"/>
        <w:jc w:val="left"/>
        <w:rPr>
          <w:rFonts w:ascii="黑体" w:eastAsia="黑体"/>
          <w:sz w:val="21"/>
        </w:rPr>
      </w:pPr>
      <w:bookmarkStart w:name="4　总体要求" w:id="9"/>
      <w:bookmarkEnd w:id="9"/>
      <w:r>
        <w:rPr/>
      </w:r>
      <w:bookmarkStart w:name="_bookmark4" w:id="10"/>
      <w:bookmarkEnd w:id="10"/>
      <w:r>
        <w:rPr>
          <w:rFonts w:ascii="黑体" w:eastAsia="黑体"/>
          <w:spacing w:val="-3"/>
          <w:w w:val="95"/>
          <w:sz w:val="21"/>
        </w:rPr>
        <w:t>总体要求</w:t>
      </w:r>
    </w:p>
    <w:p>
      <w:pPr>
        <w:pStyle w:val="BodyText"/>
        <w:spacing w:before="9"/>
        <w:rPr>
          <w:rFonts w:ascii="黑体"/>
          <w:sz w:val="27"/>
        </w:rPr>
      </w:pPr>
    </w:p>
    <w:p>
      <w:pPr>
        <w:pStyle w:val="ListParagraph"/>
        <w:numPr>
          <w:ilvl w:val="1"/>
          <w:numId w:val="2"/>
        </w:numPr>
        <w:tabs>
          <w:tab w:pos="744" w:val="left" w:leader="none"/>
        </w:tabs>
        <w:spacing w:line="278" w:lineRule="auto" w:before="0" w:after="0"/>
        <w:ind w:left="218" w:right="412" w:firstLine="0"/>
        <w:jc w:val="both"/>
        <w:rPr>
          <w:sz w:val="21"/>
        </w:rPr>
      </w:pPr>
      <w:r>
        <w:rPr>
          <w:spacing w:val="-1"/>
          <w:w w:val="99"/>
          <w:sz w:val="21"/>
        </w:rPr>
        <w:t>平台经营应主体明确，取得与业务相关的行政许可，完成必要的备案登记。应有固定场所和相应的设施设备，平台环境应符合</w:t>
      </w:r>
      <w:r>
        <w:rPr>
          <w:spacing w:val="-53"/>
          <w:sz w:val="21"/>
        </w:rPr>
        <w:t> </w:t>
      </w:r>
      <w:r>
        <w:rPr>
          <w:spacing w:val="1"/>
          <w:w w:val="99"/>
          <w:sz w:val="21"/>
        </w:rPr>
        <w:t>GB/</w:t>
      </w:r>
      <w:r>
        <w:rPr>
          <w:w w:val="99"/>
          <w:sz w:val="21"/>
        </w:rPr>
        <w:t>T</w:t>
      </w:r>
      <w:r>
        <w:rPr>
          <w:spacing w:val="-1"/>
          <w:sz w:val="21"/>
        </w:rPr>
        <w:t> </w:t>
      </w:r>
      <w:r>
        <w:rPr>
          <w:spacing w:val="1"/>
          <w:w w:val="99"/>
          <w:sz w:val="21"/>
        </w:rPr>
        <w:t>374</w:t>
      </w:r>
      <w:r>
        <w:rPr>
          <w:spacing w:val="-2"/>
          <w:w w:val="99"/>
          <w:sz w:val="21"/>
        </w:rPr>
        <w:t>0</w:t>
      </w:r>
      <w:r>
        <w:rPr>
          <w:spacing w:val="1"/>
          <w:w w:val="99"/>
          <w:sz w:val="21"/>
        </w:rPr>
        <w:t>1</w:t>
      </w:r>
      <w:r>
        <w:rPr>
          <w:spacing w:val="2"/>
          <w:w w:val="99"/>
          <w:sz w:val="21"/>
        </w:rPr>
        <w:t>—</w:t>
      </w:r>
      <w:r>
        <w:rPr>
          <w:spacing w:val="1"/>
          <w:w w:val="99"/>
          <w:sz w:val="21"/>
        </w:rPr>
        <w:t>20</w:t>
      </w:r>
      <w:r>
        <w:rPr>
          <w:spacing w:val="-2"/>
          <w:w w:val="99"/>
          <w:sz w:val="21"/>
        </w:rPr>
        <w:t>1</w:t>
      </w:r>
      <w:r>
        <w:rPr>
          <w:w w:val="99"/>
          <w:sz w:val="21"/>
        </w:rPr>
        <w:t>9</w:t>
      </w:r>
      <w:r>
        <w:rPr>
          <w:spacing w:val="-52"/>
          <w:sz w:val="21"/>
        </w:rPr>
        <w:t> </w:t>
      </w:r>
      <w:r>
        <w:rPr>
          <w:w w:val="99"/>
          <w:sz w:val="21"/>
        </w:rPr>
        <w:t>中</w:t>
      </w:r>
      <w:r>
        <w:rPr>
          <w:spacing w:val="-53"/>
          <w:sz w:val="21"/>
        </w:rPr>
        <w:t> </w:t>
      </w:r>
      <w:r>
        <w:rPr>
          <w:spacing w:val="1"/>
          <w:w w:val="99"/>
          <w:sz w:val="21"/>
        </w:rPr>
        <w:t>6.</w:t>
      </w:r>
      <w:r>
        <w:rPr>
          <w:w w:val="99"/>
          <w:sz w:val="21"/>
        </w:rPr>
        <w:t>2</w:t>
      </w:r>
      <w:r>
        <w:rPr>
          <w:spacing w:val="-54"/>
          <w:sz w:val="21"/>
        </w:rPr>
        <w:t> </w:t>
      </w:r>
      <w:r>
        <w:rPr>
          <w:spacing w:val="-1"/>
          <w:w w:val="99"/>
          <w:sz w:val="21"/>
        </w:rPr>
        <w:t>的要求，应配备满足经营所需的服务、管理、技术方面的从业人员。</w:t>
      </w:r>
    </w:p>
    <w:p>
      <w:pPr>
        <w:pStyle w:val="ListParagraph"/>
        <w:numPr>
          <w:ilvl w:val="1"/>
          <w:numId w:val="2"/>
        </w:numPr>
        <w:tabs>
          <w:tab w:pos="744" w:val="left" w:leader="none"/>
        </w:tabs>
        <w:spacing w:line="269" w:lineRule="exact" w:before="0" w:after="0"/>
        <w:ind w:left="744" w:right="0" w:hanging="526"/>
        <w:jc w:val="both"/>
        <w:rPr>
          <w:sz w:val="21"/>
        </w:rPr>
      </w:pPr>
      <w:r>
        <w:rPr>
          <w:spacing w:val="-1"/>
          <w:w w:val="95"/>
          <w:sz w:val="21"/>
        </w:rPr>
        <w:t>平台应提高增值服务能力，完善收费规则，营造与合作商户等共生共赢的行业生态。</w:t>
      </w:r>
    </w:p>
    <w:p>
      <w:pPr>
        <w:pStyle w:val="ListParagraph"/>
        <w:numPr>
          <w:ilvl w:val="1"/>
          <w:numId w:val="2"/>
        </w:numPr>
        <w:tabs>
          <w:tab w:pos="744" w:val="left" w:leader="none"/>
        </w:tabs>
        <w:spacing w:line="240" w:lineRule="auto" w:before="43" w:after="0"/>
        <w:ind w:left="744" w:right="0" w:hanging="526"/>
        <w:jc w:val="both"/>
        <w:rPr>
          <w:sz w:val="21"/>
        </w:rPr>
      </w:pPr>
      <w:r>
        <w:rPr>
          <w:spacing w:val="-1"/>
          <w:w w:val="95"/>
          <w:sz w:val="21"/>
        </w:rPr>
        <w:t>平台应依法开展经营活动，保障消费者、商户及配送员的合法权益。</w:t>
      </w:r>
    </w:p>
    <w:p>
      <w:pPr>
        <w:pStyle w:val="ListParagraph"/>
        <w:numPr>
          <w:ilvl w:val="1"/>
          <w:numId w:val="2"/>
        </w:numPr>
        <w:tabs>
          <w:tab w:pos="744" w:val="left" w:leader="none"/>
        </w:tabs>
        <w:spacing w:line="278" w:lineRule="auto" w:before="43" w:after="0"/>
        <w:ind w:left="218" w:right="412" w:firstLine="0"/>
        <w:jc w:val="both"/>
        <w:rPr>
          <w:sz w:val="21"/>
        </w:rPr>
      </w:pPr>
      <w:r>
        <w:rPr>
          <w:spacing w:val="-1"/>
          <w:w w:val="99"/>
          <w:sz w:val="21"/>
        </w:rPr>
        <w:t>平台制定收费规则应坚持公开透明、公平合理原则，持续、显著地公示收费项目、计算方式、促销规则等信息，不应设立不合理的收费项目，不应转嫁应由平台承担的成本。</w:t>
      </w:r>
    </w:p>
    <w:p>
      <w:pPr>
        <w:pStyle w:val="ListParagraph"/>
        <w:numPr>
          <w:ilvl w:val="1"/>
          <w:numId w:val="2"/>
        </w:numPr>
        <w:tabs>
          <w:tab w:pos="744" w:val="left" w:leader="none"/>
        </w:tabs>
        <w:spacing w:line="278" w:lineRule="auto" w:before="0" w:after="0"/>
        <w:ind w:left="218" w:right="412" w:firstLine="0"/>
        <w:jc w:val="both"/>
        <w:rPr>
          <w:sz w:val="21"/>
        </w:rPr>
      </w:pPr>
      <w:r>
        <w:rPr>
          <w:spacing w:val="-1"/>
          <w:w w:val="99"/>
          <w:sz w:val="21"/>
        </w:rPr>
        <w:t>平台在经营活动中应坚持公平竞争原则，不应实施价格欺诈、价格歧视、低价倾销等不正当价格</w:t>
      </w:r>
      <w:r>
        <w:rPr>
          <w:spacing w:val="-8"/>
          <w:w w:val="99"/>
          <w:sz w:val="21"/>
        </w:rPr>
        <w:t>行为，不应实施或者帮助他人实施虚假宣传、滥用补贴、排他性合作等不正当竞争行为，不应利用数据</w:t>
      </w:r>
      <w:r>
        <w:rPr>
          <w:spacing w:val="-1"/>
          <w:w w:val="99"/>
          <w:sz w:val="21"/>
        </w:rPr>
        <w:t>和算法、技术、资本优势以及平台规则等从事国家禁止的垄断行为。</w:t>
      </w:r>
    </w:p>
    <w:p>
      <w:pPr>
        <w:pStyle w:val="ListParagraph"/>
        <w:numPr>
          <w:ilvl w:val="1"/>
          <w:numId w:val="2"/>
        </w:numPr>
        <w:tabs>
          <w:tab w:pos="744" w:val="left" w:leader="none"/>
        </w:tabs>
        <w:spacing w:line="278" w:lineRule="auto" w:before="0" w:after="0"/>
        <w:ind w:left="218" w:right="412" w:firstLine="0"/>
        <w:jc w:val="both"/>
        <w:rPr>
          <w:sz w:val="21"/>
        </w:rPr>
      </w:pPr>
      <w:r>
        <w:rPr>
          <w:spacing w:val="-1"/>
          <w:w w:val="99"/>
          <w:sz w:val="21"/>
        </w:rPr>
        <w:t>平台应严格落实主体责任，完善食品安全管理制度，并应制定相关突发事件应急预案，定期演练并及时响应。</w:t>
      </w:r>
    </w:p>
    <w:p>
      <w:pPr>
        <w:pStyle w:val="ListParagraph"/>
        <w:numPr>
          <w:ilvl w:val="1"/>
          <w:numId w:val="2"/>
        </w:numPr>
        <w:tabs>
          <w:tab w:pos="744" w:val="left" w:leader="none"/>
        </w:tabs>
        <w:spacing w:line="278" w:lineRule="auto" w:before="0" w:after="0"/>
        <w:ind w:left="218" w:right="412" w:firstLine="0"/>
        <w:jc w:val="both"/>
        <w:rPr>
          <w:sz w:val="21"/>
        </w:rPr>
      </w:pPr>
      <w:r>
        <w:rPr>
          <w:spacing w:val="-1"/>
          <w:w w:val="99"/>
          <w:sz w:val="21"/>
        </w:rPr>
        <w:t>平台在收费、流量分配、补贴活动方面应坚持平等原则，不应对符合条件的商户和消费者实施不合理的差别待遇。</w:t>
      </w:r>
    </w:p>
    <w:p>
      <w:pPr>
        <w:pStyle w:val="ListParagraph"/>
        <w:numPr>
          <w:ilvl w:val="1"/>
          <w:numId w:val="2"/>
        </w:numPr>
        <w:tabs>
          <w:tab w:pos="744" w:val="left" w:leader="none"/>
        </w:tabs>
        <w:spacing w:line="278" w:lineRule="auto" w:before="0" w:after="0"/>
        <w:ind w:left="218" w:right="412" w:firstLine="0"/>
        <w:jc w:val="both"/>
        <w:rPr>
          <w:sz w:val="21"/>
        </w:rPr>
      </w:pPr>
      <w:r>
        <w:rPr>
          <w:spacing w:val="-1"/>
          <w:w w:val="99"/>
          <w:sz w:val="21"/>
        </w:rPr>
        <w:t>平台应建立相关管理制度和技术措施及时发现商户“刷单”“刷评”等行为，并采取措施对该行为及相关商户进行处置。</w:t>
      </w:r>
    </w:p>
    <w:p>
      <w:pPr>
        <w:pStyle w:val="ListParagraph"/>
        <w:numPr>
          <w:ilvl w:val="1"/>
          <w:numId w:val="2"/>
        </w:numPr>
        <w:tabs>
          <w:tab w:pos="744" w:val="left" w:leader="none"/>
        </w:tabs>
        <w:spacing w:line="278" w:lineRule="auto" w:before="0" w:after="0"/>
        <w:ind w:left="218" w:right="412" w:firstLine="0"/>
        <w:jc w:val="both"/>
        <w:rPr>
          <w:sz w:val="21"/>
        </w:rPr>
      </w:pPr>
      <w:r>
        <w:rPr>
          <w:spacing w:val="-1"/>
          <w:w w:val="99"/>
          <w:sz w:val="21"/>
        </w:rPr>
        <w:t>平台应建立健全信息内容审核机制，对商户发布的信息内容、用户评论区及群组加强信息安全审</w:t>
      </w:r>
      <w:r>
        <w:rPr>
          <w:w w:val="99"/>
          <w:sz w:val="21"/>
        </w:rPr>
        <w:t>核处置。</w:t>
      </w:r>
    </w:p>
    <w:p>
      <w:pPr>
        <w:pStyle w:val="ListParagraph"/>
        <w:numPr>
          <w:ilvl w:val="1"/>
          <w:numId w:val="2"/>
        </w:numPr>
        <w:tabs>
          <w:tab w:pos="848" w:val="left" w:leader="none"/>
        </w:tabs>
        <w:spacing w:line="278" w:lineRule="auto" w:before="0" w:after="0"/>
        <w:ind w:left="218" w:right="412" w:firstLine="0"/>
        <w:jc w:val="both"/>
        <w:rPr>
          <w:sz w:val="21"/>
        </w:rPr>
      </w:pPr>
      <w:r>
        <w:rPr>
          <w:spacing w:val="-6"/>
          <w:w w:val="99"/>
          <w:sz w:val="21"/>
        </w:rPr>
        <w:t>平台应明确配送员的基本行为准则与服务要求，加强对配送员配送服务的监督管理，保障配送服</w:t>
      </w:r>
      <w:r>
        <w:rPr>
          <w:spacing w:val="-1"/>
          <w:w w:val="99"/>
          <w:sz w:val="21"/>
        </w:rPr>
        <w:t>务的规范性与安全性。</w:t>
      </w:r>
    </w:p>
    <w:p>
      <w:pPr>
        <w:pStyle w:val="ListParagraph"/>
        <w:numPr>
          <w:ilvl w:val="1"/>
          <w:numId w:val="2"/>
        </w:numPr>
        <w:tabs>
          <w:tab w:pos="848" w:val="left" w:leader="none"/>
        </w:tabs>
        <w:spacing w:line="278" w:lineRule="auto" w:before="0" w:after="0"/>
        <w:ind w:left="218" w:right="411" w:firstLine="0"/>
        <w:jc w:val="both"/>
        <w:rPr>
          <w:sz w:val="21"/>
        </w:rPr>
      </w:pPr>
      <w:r>
        <w:rPr>
          <w:spacing w:val="-1"/>
          <w:sz w:val="21"/>
        </w:rPr>
        <w:t>平台应健全信息系统安全保障机制，信息存储安全、网络基础安全和系统接口安全应符合 </w:t>
      </w:r>
      <w:r>
        <w:rPr>
          <w:sz w:val="21"/>
        </w:rPr>
        <w:t>GB/T 37401—2019</w:t>
      </w:r>
      <w:r>
        <w:rPr>
          <w:spacing w:val="-11"/>
          <w:sz w:val="21"/>
        </w:rPr>
        <w:t> 中 </w:t>
      </w:r>
      <w:r>
        <w:rPr>
          <w:sz w:val="21"/>
        </w:rPr>
        <w:t>6.1</w:t>
      </w:r>
      <w:r>
        <w:rPr>
          <w:spacing w:val="-4"/>
          <w:sz w:val="21"/>
        </w:rPr>
        <w:t> 的要求。</w:t>
      </w:r>
    </w:p>
    <w:p>
      <w:pPr>
        <w:pStyle w:val="ListParagraph"/>
        <w:numPr>
          <w:ilvl w:val="1"/>
          <w:numId w:val="2"/>
        </w:numPr>
        <w:tabs>
          <w:tab w:pos="848" w:val="left" w:leader="none"/>
        </w:tabs>
        <w:spacing w:line="278" w:lineRule="auto" w:before="0" w:after="0"/>
        <w:ind w:left="218" w:right="412" w:firstLine="0"/>
        <w:jc w:val="both"/>
        <w:rPr>
          <w:sz w:val="21"/>
        </w:rPr>
      </w:pPr>
      <w:r>
        <w:rPr>
          <w:spacing w:val="-7"/>
          <w:w w:val="99"/>
          <w:sz w:val="21"/>
        </w:rPr>
        <w:t>平台应积极承担社会责任，在合法、合理的范围内加大对中小商户的扶持力度，加强对配送员的</w:t>
      </w:r>
      <w:r>
        <w:rPr>
          <w:spacing w:val="-1"/>
          <w:w w:val="99"/>
          <w:sz w:val="21"/>
        </w:rPr>
        <w:t>劳动权益保障，为消费者提供优质且价格合理的服务。</w:t>
      </w:r>
    </w:p>
    <w:p>
      <w:pPr>
        <w:pStyle w:val="ListParagraph"/>
        <w:numPr>
          <w:ilvl w:val="1"/>
          <w:numId w:val="2"/>
        </w:numPr>
        <w:tabs>
          <w:tab w:pos="848" w:val="left" w:leader="none"/>
        </w:tabs>
        <w:spacing w:line="278" w:lineRule="auto" w:before="0" w:after="0"/>
        <w:ind w:left="218" w:right="412" w:firstLine="0"/>
        <w:jc w:val="both"/>
        <w:rPr>
          <w:sz w:val="21"/>
        </w:rPr>
      </w:pPr>
      <w:r>
        <w:rPr>
          <w:spacing w:val="-5"/>
          <w:w w:val="99"/>
          <w:sz w:val="21"/>
        </w:rPr>
        <w:t>平台应积极配合监管部门监督管理工作，主动接受社会各界监督，建立并畅通投诉举报渠道，及</w:t>
      </w:r>
      <w:r>
        <w:rPr>
          <w:spacing w:val="-1"/>
          <w:w w:val="99"/>
          <w:sz w:val="21"/>
        </w:rPr>
        <w:t>时妥善处理平台内各方反映和舆论曝光问题。</w:t>
      </w:r>
    </w:p>
    <w:p>
      <w:pPr>
        <w:pStyle w:val="BodyText"/>
        <w:spacing w:before="2"/>
        <w:rPr>
          <w:sz w:val="24"/>
        </w:rPr>
      </w:pPr>
    </w:p>
    <w:p>
      <w:pPr>
        <w:pStyle w:val="ListParagraph"/>
        <w:numPr>
          <w:ilvl w:val="0"/>
          <w:numId w:val="2"/>
        </w:numPr>
        <w:tabs>
          <w:tab w:pos="533" w:val="left" w:leader="none"/>
        </w:tabs>
        <w:spacing w:line="240" w:lineRule="auto" w:before="0" w:after="0"/>
        <w:ind w:left="532" w:right="0" w:hanging="315"/>
        <w:jc w:val="left"/>
        <w:rPr>
          <w:rFonts w:ascii="黑体" w:eastAsia="黑体"/>
          <w:sz w:val="21"/>
        </w:rPr>
      </w:pPr>
      <w:bookmarkStart w:name="5　价格行为管理要求" w:id="11"/>
      <w:bookmarkEnd w:id="11"/>
      <w:r>
        <w:rPr/>
      </w:r>
      <w:bookmarkStart w:name="_bookmark5" w:id="12"/>
      <w:bookmarkEnd w:id="12"/>
      <w:r>
        <w:rPr>
          <w:rFonts w:ascii="黑体" w:eastAsia="黑体"/>
          <w:spacing w:val="-2"/>
          <w:w w:val="95"/>
          <w:sz w:val="21"/>
        </w:rPr>
        <w:t>价格行为管理要求</w:t>
      </w:r>
    </w:p>
    <w:p>
      <w:pPr>
        <w:pStyle w:val="BodyText"/>
        <w:spacing w:before="9"/>
        <w:rPr>
          <w:rFonts w:ascii="黑体"/>
          <w:sz w:val="27"/>
        </w:rPr>
      </w:pPr>
    </w:p>
    <w:p>
      <w:pPr>
        <w:pStyle w:val="ListParagraph"/>
        <w:numPr>
          <w:ilvl w:val="1"/>
          <w:numId w:val="2"/>
        </w:numPr>
        <w:tabs>
          <w:tab w:pos="744" w:val="left" w:leader="none"/>
        </w:tabs>
        <w:spacing w:line="240" w:lineRule="auto" w:before="0" w:after="0"/>
        <w:ind w:left="744" w:right="0" w:hanging="526"/>
        <w:jc w:val="left"/>
        <w:rPr>
          <w:rFonts w:ascii="黑体" w:eastAsia="黑体"/>
          <w:sz w:val="21"/>
        </w:rPr>
      </w:pPr>
      <w:bookmarkStart w:name="5.1　收费管理" w:id="13"/>
      <w:bookmarkEnd w:id="13"/>
      <w:r>
        <w:rPr/>
      </w:r>
      <w:bookmarkStart w:name="_bookmark6" w:id="14"/>
      <w:bookmarkEnd w:id="14"/>
      <w:r>
        <w:rPr>
          <w:rFonts w:ascii="黑体" w:eastAsia="黑体"/>
          <w:spacing w:val="-3"/>
          <w:w w:val="95"/>
          <w:sz w:val="21"/>
        </w:rPr>
        <w:t>收费管理</w:t>
      </w:r>
    </w:p>
    <w:p>
      <w:pPr>
        <w:pStyle w:val="BodyText"/>
        <w:spacing w:before="7"/>
        <w:rPr>
          <w:rFonts w:ascii="黑体"/>
          <w:sz w:val="15"/>
        </w:rPr>
      </w:pPr>
    </w:p>
    <w:p>
      <w:pPr>
        <w:pStyle w:val="ListParagraph"/>
        <w:numPr>
          <w:ilvl w:val="2"/>
          <w:numId w:val="2"/>
        </w:numPr>
        <w:tabs>
          <w:tab w:pos="953" w:val="left" w:leader="none"/>
        </w:tabs>
        <w:spacing w:line="240" w:lineRule="auto" w:before="0" w:after="0"/>
        <w:ind w:left="952" w:right="0" w:hanging="735"/>
        <w:jc w:val="left"/>
        <w:rPr>
          <w:rFonts w:ascii="黑体" w:eastAsia="黑体"/>
          <w:sz w:val="21"/>
        </w:rPr>
      </w:pPr>
      <w:bookmarkStart w:name="5.1.1　收费项目" w:id="15"/>
      <w:bookmarkEnd w:id="15"/>
      <w:r>
        <w:rPr>
          <w:rFonts w:ascii="黑体" w:eastAsia="黑体"/>
          <w:spacing w:val="-3"/>
          <w:w w:val="95"/>
          <w:sz w:val="21"/>
        </w:rPr>
        <w:t>收费项目</w:t>
      </w:r>
    </w:p>
    <w:p>
      <w:pPr>
        <w:spacing w:after="0" w:line="240" w:lineRule="auto"/>
        <w:jc w:val="left"/>
        <w:rPr>
          <w:rFonts w:ascii="黑体" w:eastAsia="黑体"/>
          <w:sz w:val="21"/>
        </w:rPr>
        <w:sectPr>
          <w:pgSz w:w="11910" w:h="16840"/>
          <w:pgMar w:header="1449" w:footer="1141" w:top="1640" w:bottom="1340" w:left="1200" w:right="720"/>
        </w:sectPr>
      </w:pPr>
    </w:p>
    <w:p>
      <w:pPr>
        <w:pStyle w:val="BodyText"/>
        <w:spacing w:before="3"/>
        <w:rPr>
          <w:rFonts w:ascii="黑体"/>
          <w:sz w:val="17"/>
        </w:rPr>
      </w:pPr>
    </w:p>
    <w:p>
      <w:pPr>
        <w:pStyle w:val="BodyText"/>
        <w:spacing w:line="278" w:lineRule="auto" w:before="70"/>
        <w:ind w:left="218" w:right="415" w:firstLine="420"/>
      </w:pPr>
      <w:r>
        <w:rPr>
          <w:spacing w:val="-6"/>
          <w:w w:val="99"/>
        </w:rPr>
        <w:t>平台面向商户开展的收费项目主要包括技术服务费、配送服务费和推广服务费，平台不应随意变更</w:t>
      </w:r>
      <w:r>
        <w:rPr>
          <w:spacing w:val="-1"/>
          <w:w w:val="99"/>
        </w:rPr>
        <w:t>或新设收费项目。收费项目应当满足下列要求：</w:t>
      </w:r>
    </w:p>
    <w:p>
      <w:pPr>
        <w:pStyle w:val="ListParagraph"/>
        <w:numPr>
          <w:ilvl w:val="3"/>
          <w:numId w:val="2"/>
        </w:numPr>
        <w:tabs>
          <w:tab w:pos="1068" w:val="left" w:leader="none"/>
        </w:tabs>
        <w:spacing w:line="278" w:lineRule="auto" w:before="0" w:after="0"/>
        <w:ind w:left="1068" w:right="415" w:hanging="425"/>
        <w:jc w:val="both"/>
        <w:rPr>
          <w:sz w:val="21"/>
        </w:rPr>
      </w:pPr>
      <w:r>
        <w:rPr>
          <w:spacing w:val="1"/>
          <w:w w:val="99"/>
          <w:sz w:val="21"/>
        </w:rPr>
        <w:t>技术服务费：平台应遵循公平、合法和诚实守信的原则，充分考虑商户经营状况，依照相关法律法规规章，合理制定技术服务费收费标准。平台宜建立技术服务费下调机制。对满足一定条件的商户设置下调空间，对中小微商户给予技术服务费减免等优惠扶持。技术服务费计</w:t>
      </w:r>
      <w:r>
        <w:rPr>
          <w:spacing w:val="-1"/>
          <w:w w:val="99"/>
          <w:sz w:val="21"/>
        </w:rPr>
        <w:t>算公式见附录</w:t>
      </w:r>
      <w:r>
        <w:rPr>
          <w:spacing w:val="-50"/>
          <w:sz w:val="21"/>
        </w:rPr>
        <w:t> </w:t>
      </w:r>
      <w:r>
        <w:rPr>
          <w:spacing w:val="1"/>
          <w:w w:val="99"/>
          <w:sz w:val="21"/>
        </w:rPr>
        <w:t>A.</w:t>
      </w:r>
      <w:r>
        <w:rPr>
          <w:spacing w:val="-2"/>
          <w:w w:val="99"/>
          <w:sz w:val="21"/>
        </w:rPr>
        <w:t>1</w:t>
      </w:r>
      <w:r>
        <w:rPr>
          <w:w w:val="99"/>
          <w:sz w:val="21"/>
        </w:rPr>
        <w:t>；</w:t>
      </w:r>
    </w:p>
    <w:p>
      <w:pPr>
        <w:pStyle w:val="ListParagraph"/>
        <w:numPr>
          <w:ilvl w:val="3"/>
          <w:numId w:val="2"/>
        </w:numPr>
        <w:tabs>
          <w:tab w:pos="1068" w:val="left" w:leader="none"/>
        </w:tabs>
        <w:spacing w:line="278" w:lineRule="auto" w:before="0" w:after="0"/>
        <w:ind w:left="1068" w:right="415" w:hanging="425"/>
        <w:jc w:val="both"/>
        <w:rPr>
          <w:sz w:val="21"/>
        </w:rPr>
      </w:pPr>
      <w:r>
        <w:rPr>
          <w:spacing w:val="1"/>
          <w:w w:val="99"/>
          <w:sz w:val="21"/>
        </w:rPr>
        <w:t>配送服务费：平台应按照实际履约服务内容和平台履约成本支出合理制定配送服务费的收费</w:t>
      </w:r>
      <w:r>
        <w:rPr>
          <w:spacing w:val="-1"/>
          <w:w w:val="99"/>
          <w:sz w:val="21"/>
        </w:rPr>
        <w:t>规则和标准；</w:t>
      </w:r>
    </w:p>
    <w:p>
      <w:pPr>
        <w:pStyle w:val="ListParagraph"/>
        <w:numPr>
          <w:ilvl w:val="3"/>
          <w:numId w:val="2"/>
        </w:numPr>
        <w:tabs>
          <w:tab w:pos="1068" w:val="left" w:leader="none"/>
        </w:tabs>
        <w:spacing w:line="278" w:lineRule="auto" w:before="0" w:after="0"/>
        <w:ind w:left="1068" w:right="415" w:hanging="425"/>
        <w:jc w:val="both"/>
        <w:rPr>
          <w:sz w:val="21"/>
        </w:rPr>
      </w:pPr>
      <w:r>
        <w:rPr>
          <w:spacing w:val="1"/>
          <w:w w:val="99"/>
          <w:sz w:val="21"/>
        </w:rPr>
        <w:t>推广服务费：平台应简化推广服务设置，避免服务内容、形式过于复杂增加商户推广成本。</w:t>
      </w:r>
      <w:r>
        <w:rPr>
          <w:spacing w:val="-1"/>
          <w:w w:val="99"/>
          <w:sz w:val="21"/>
        </w:rPr>
        <w:t>推广服务费应与所提供的具体服务内容相匹配，合理制定收费规则及标准。</w:t>
      </w:r>
    </w:p>
    <w:p>
      <w:pPr>
        <w:spacing w:before="19"/>
        <w:ind w:left="580" w:right="0" w:firstLine="0"/>
        <w:jc w:val="left"/>
        <w:rPr>
          <w:sz w:val="18"/>
        </w:rPr>
      </w:pPr>
      <w:r>
        <w:rPr>
          <w:rFonts w:ascii="黑体" w:eastAsia="黑体"/>
          <w:spacing w:val="7"/>
          <w:sz w:val="18"/>
        </w:rPr>
        <w:t>注：</w:t>
      </w:r>
      <w:r>
        <w:rPr>
          <w:spacing w:val="-1"/>
          <w:sz w:val="18"/>
        </w:rPr>
        <w:t>上述收费项目原则上不包括保险费等平台代收费项目。</w:t>
      </w:r>
    </w:p>
    <w:p>
      <w:pPr>
        <w:pStyle w:val="BodyText"/>
        <w:spacing w:before="12"/>
        <w:rPr>
          <w:sz w:val="16"/>
        </w:rPr>
      </w:pPr>
    </w:p>
    <w:p>
      <w:pPr>
        <w:pStyle w:val="ListParagraph"/>
        <w:numPr>
          <w:ilvl w:val="2"/>
          <w:numId w:val="2"/>
        </w:numPr>
        <w:tabs>
          <w:tab w:pos="953" w:val="left" w:leader="none"/>
        </w:tabs>
        <w:spacing w:line="240" w:lineRule="auto" w:before="0" w:after="0"/>
        <w:ind w:left="952" w:right="0" w:hanging="735"/>
        <w:jc w:val="left"/>
        <w:rPr>
          <w:rFonts w:ascii="黑体" w:eastAsia="黑体"/>
          <w:sz w:val="21"/>
        </w:rPr>
      </w:pPr>
      <w:bookmarkStart w:name="5.1.2　收费信息披露" w:id="16"/>
      <w:bookmarkEnd w:id="16"/>
      <w:r>
        <w:rPr>
          <w:rFonts w:ascii="黑体" w:eastAsia="黑体"/>
          <w:spacing w:val="-2"/>
          <w:w w:val="95"/>
          <w:sz w:val="21"/>
        </w:rPr>
        <w:t>收费信息披露</w:t>
      </w:r>
    </w:p>
    <w:p>
      <w:pPr>
        <w:pStyle w:val="BodyText"/>
        <w:spacing w:before="7"/>
        <w:rPr>
          <w:rFonts w:ascii="黑体"/>
          <w:sz w:val="15"/>
        </w:rPr>
      </w:pPr>
    </w:p>
    <w:p>
      <w:pPr>
        <w:pStyle w:val="ListParagraph"/>
        <w:numPr>
          <w:ilvl w:val="3"/>
          <w:numId w:val="3"/>
        </w:numPr>
        <w:tabs>
          <w:tab w:pos="1164" w:val="left" w:leader="none"/>
        </w:tabs>
        <w:spacing w:line="278" w:lineRule="auto" w:before="0" w:after="0"/>
        <w:ind w:left="218" w:right="412" w:firstLine="0"/>
        <w:jc w:val="both"/>
        <w:rPr>
          <w:sz w:val="21"/>
        </w:rPr>
      </w:pPr>
      <w:r>
        <w:rPr>
          <w:spacing w:val="-1"/>
          <w:w w:val="99"/>
          <w:sz w:val="21"/>
        </w:rPr>
        <w:t>平台应在网站首页或者从事经营活动的主页面显著位置，持续公示平台技术服务费、配送服</w:t>
      </w:r>
      <w:r>
        <w:rPr>
          <w:spacing w:val="-9"/>
          <w:w w:val="99"/>
          <w:sz w:val="21"/>
        </w:rPr>
        <w:t>务费、推广服务费的收费规则、标准等信息或者上述信息的链接标识，确保收费对象能够便利、完整地</w:t>
      </w:r>
      <w:r>
        <w:rPr>
          <w:spacing w:val="-1"/>
          <w:w w:val="99"/>
          <w:sz w:val="21"/>
        </w:rPr>
        <w:t>阅览和下载，并提供规则解释和说明的问询渠道。</w:t>
      </w:r>
    </w:p>
    <w:p>
      <w:pPr>
        <w:pStyle w:val="ListParagraph"/>
        <w:numPr>
          <w:ilvl w:val="3"/>
          <w:numId w:val="3"/>
        </w:numPr>
        <w:tabs>
          <w:tab w:pos="1164" w:val="left" w:leader="none"/>
        </w:tabs>
        <w:spacing w:line="278" w:lineRule="auto" w:before="0" w:after="0"/>
        <w:ind w:left="218" w:right="412" w:firstLine="0"/>
        <w:jc w:val="both"/>
        <w:rPr>
          <w:sz w:val="21"/>
        </w:rPr>
      </w:pPr>
      <w:r>
        <w:rPr>
          <w:spacing w:val="-1"/>
          <w:w w:val="99"/>
          <w:sz w:val="21"/>
        </w:rPr>
        <w:t>平台应在公示信息中以简洁明晰、通俗易懂的语言明确说明不同收费标准的设置规则和计算方法，标明不同收费标准及对应的交易条件。</w:t>
      </w:r>
    </w:p>
    <w:p>
      <w:pPr>
        <w:pStyle w:val="ListParagraph"/>
        <w:numPr>
          <w:ilvl w:val="3"/>
          <w:numId w:val="3"/>
        </w:numPr>
        <w:tabs>
          <w:tab w:pos="1164" w:val="left" w:leader="none"/>
        </w:tabs>
        <w:spacing w:line="278" w:lineRule="auto" w:before="0" w:after="0"/>
        <w:ind w:left="218" w:right="412" w:firstLine="0"/>
        <w:jc w:val="both"/>
        <w:rPr>
          <w:sz w:val="21"/>
        </w:rPr>
      </w:pPr>
      <w:r>
        <w:rPr>
          <w:spacing w:val="-1"/>
          <w:w w:val="99"/>
          <w:sz w:val="21"/>
        </w:rPr>
        <w:t>平台在特定城市或区域与第三方服务商开展合作，由第三方服务商与商户签订服务协议时，</w:t>
      </w:r>
      <w:r>
        <w:rPr>
          <w:spacing w:val="-5"/>
          <w:w w:val="99"/>
          <w:sz w:val="21"/>
        </w:rPr>
        <w:t>可自行或授权第三方服务商向商户统一收取技术服务费、配送服务费。相关收费规则、项目、标准应按照</w:t>
      </w:r>
      <w:r>
        <w:rPr>
          <w:spacing w:val="-53"/>
          <w:sz w:val="21"/>
        </w:rPr>
        <w:t> </w:t>
      </w:r>
      <w:r>
        <w:rPr>
          <w:spacing w:val="1"/>
          <w:w w:val="99"/>
          <w:sz w:val="21"/>
        </w:rPr>
        <w:t>5.1</w:t>
      </w:r>
      <w:r>
        <w:rPr>
          <w:spacing w:val="-2"/>
          <w:w w:val="99"/>
          <w:sz w:val="21"/>
        </w:rPr>
        <w:t>.</w:t>
      </w:r>
      <w:r>
        <w:rPr>
          <w:spacing w:val="1"/>
          <w:w w:val="99"/>
          <w:sz w:val="21"/>
        </w:rPr>
        <w:t>2.</w:t>
      </w:r>
      <w:r>
        <w:rPr>
          <w:spacing w:val="-2"/>
          <w:w w:val="99"/>
          <w:sz w:val="21"/>
        </w:rPr>
        <w:t>1</w:t>
      </w:r>
      <w:r>
        <w:rPr>
          <w:spacing w:val="2"/>
          <w:w w:val="99"/>
          <w:sz w:val="21"/>
        </w:rPr>
        <w:t>、</w:t>
      </w:r>
      <w:r>
        <w:rPr>
          <w:spacing w:val="1"/>
          <w:w w:val="99"/>
          <w:sz w:val="21"/>
        </w:rPr>
        <w:t>5.</w:t>
      </w:r>
      <w:r>
        <w:rPr>
          <w:spacing w:val="-2"/>
          <w:w w:val="99"/>
          <w:sz w:val="21"/>
        </w:rPr>
        <w:t>1</w:t>
      </w:r>
      <w:r>
        <w:rPr>
          <w:spacing w:val="1"/>
          <w:w w:val="99"/>
          <w:sz w:val="21"/>
        </w:rPr>
        <w:t>.2.</w:t>
      </w:r>
      <w:r>
        <w:rPr>
          <w:w w:val="99"/>
          <w:sz w:val="21"/>
        </w:rPr>
        <w:t>2</w:t>
      </w:r>
      <w:r>
        <w:rPr>
          <w:spacing w:val="-54"/>
          <w:sz w:val="21"/>
        </w:rPr>
        <w:t> </w:t>
      </w:r>
      <w:r>
        <w:rPr>
          <w:spacing w:val="-1"/>
          <w:w w:val="99"/>
          <w:sz w:val="21"/>
        </w:rPr>
        <w:t>进行公示，且不得向商户重复收费。</w:t>
      </w:r>
    </w:p>
    <w:p>
      <w:pPr>
        <w:pStyle w:val="ListParagraph"/>
        <w:numPr>
          <w:ilvl w:val="3"/>
          <w:numId w:val="3"/>
        </w:numPr>
        <w:tabs>
          <w:tab w:pos="1164" w:val="left" w:leader="none"/>
        </w:tabs>
        <w:spacing w:line="269" w:lineRule="exact" w:before="0" w:after="0"/>
        <w:ind w:left="1164" w:right="0" w:hanging="946"/>
        <w:jc w:val="both"/>
        <w:rPr>
          <w:sz w:val="21"/>
        </w:rPr>
      </w:pPr>
      <w:r>
        <w:rPr>
          <w:spacing w:val="-1"/>
          <w:w w:val="95"/>
          <w:sz w:val="21"/>
        </w:rPr>
        <w:t>平台以保底费形式收费的，应公示保底费的适用条件、收费标准、保底金额等信息。</w:t>
      </w:r>
    </w:p>
    <w:p>
      <w:pPr>
        <w:pStyle w:val="ListParagraph"/>
        <w:numPr>
          <w:ilvl w:val="3"/>
          <w:numId w:val="3"/>
        </w:numPr>
        <w:tabs>
          <w:tab w:pos="1164" w:val="left" w:leader="none"/>
        </w:tabs>
        <w:spacing w:line="278" w:lineRule="auto" w:before="42" w:after="0"/>
        <w:ind w:left="218" w:right="412" w:firstLine="0"/>
        <w:jc w:val="left"/>
        <w:rPr>
          <w:sz w:val="21"/>
        </w:rPr>
      </w:pPr>
      <w:r>
        <w:rPr>
          <w:spacing w:val="-1"/>
          <w:w w:val="99"/>
          <w:sz w:val="21"/>
        </w:rPr>
        <w:t>平台应向商户提供收费项目的结算明细，清晰列明各项费用组成、费率比例及实际到账金额等，并保证数据的真实性、完整性、及时性。</w:t>
      </w:r>
    </w:p>
    <w:p>
      <w:pPr>
        <w:pStyle w:val="ListParagraph"/>
        <w:numPr>
          <w:ilvl w:val="3"/>
          <w:numId w:val="3"/>
        </w:numPr>
        <w:tabs>
          <w:tab w:pos="1164" w:val="left" w:leader="none"/>
        </w:tabs>
        <w:spacing w:line="278" w:lineRule="auto" w:before="0" w:after="0"/>
        <w:ind w:left="218" w:right="308" w:firstLine="0"/>
        <w:jc w:val="left"/>
        <w:rPr>
          <w:sz w:val="21"/>
        </w:rPr>
      </w:pPr>
      <w:r>
        <w:rPr>
          <w:spacing w:val="-1"/>
          <w:w w:val="99"/>
          <w:sz w:val="21"/>
        </w:rPr>
        <w:t>平台应保障推广服务规则简洁明晰、通俗易懂，向商户清晰公示推广服务包含的所有工具和</w:t>
      </w:r>
      <w:r>
        <w:rPr>
          <w:spacing w:val="-13"/>
          <w:w w:val="99"/>
          <w:sz w:val="21"/>
        </w:rPr>
        <w:t>具体类目，以及每种流量推广工具、广告服务的具体计费标准和计费所依据的指标。平台以点击、展示、</w:t>
      </w:r>
      <w:r>
        <w:rPr>
          <w:spacing w:val="-7"/>
          <w:w w:val="99"/>
          <w:sz w:val="21"/>
        </w:rPr>
        <w:t>转化等作为推广服务计费标准的，应以简明易懂的方式公示费用的计算方法，并提供相应解释和说明的</w:t>
      </w:r>
      <w:r>
        <w:rPr>
          <w:spacing w:val="-1"/>
          <w:w w:val="99"/>
          <w:sz w:val="21"/>
        </w:rPr>
        <w:t>问询渠道。</w:t>
      </w:r>
    </w:p>
    <w:p>
      <w:pPr>
        <w:pStyle w:val="ListParagraph"/>
        <w:numPr>
          <w:ilvl w:val="3"/>
          <w:numId w:val="3"/>
        </w:numPr>
        <w:tabs>
          <w:tab w:pos="1164" w:val="left" w:leader="none"/>
        </w:tabs>
        <w:spacing w:line="269" w:lineRule="exact" w:before="0" w:after="0"/>
        <w:ind w:left="1164" w:right="0" w:hanging="946"/>
        <w:jc w:val="left"/>
        <w:rPr>
          <w:sz w:val="21"/>
        </w:rPr>
      </w:pPr>
      <w:r>
        <w:rPr>
          <w:spacing w:val="-1"/>
          <w:w w:val="95"/>
          <w:sz w:val="21"/>
        </w:rPr>
        <w:t>平台应以显著方式告知商户支付推广服务费的方式和具体结算规则，并满足以下要求：</w:t>
      </w:r>
    </w:p>
    <w:p>
      <w:pPr>
        <w:pStyle w:val="ListParagraph"/>
        <w:numPr>
          <w:ilvl w:val="4"/>
          <w:numId w:val="3"/>
        </w:numPr>
        <w:tabs>
          <w:tab w:pos="1068" w:val="left" w:leader="none"/>
        </w:tabs>
        <w:spacing w:line="278" w:lineRule="auto" w:before="43" w:after="0"/>
        <w:ind w:left="1068" w:right="415" w:hanging="425"/>
        <w:jc w:val="both"/>
        <w:rPr>
          <w:sz w:val="21"/>
        </w:rPr>
      </w:pPr>
      <w:r>
        <w:rPr>
          <w:spacing w:val="1"/>
          <w:w w:val="99"/>
          <w:sz w:val="21"/>
        </w:rPr>
        <w:t>对于选择预存款支付方式的商户，平台应记录保存每次产生费用的时间、对应的推广服务类别、具体费用等详细账单信息，确保商户可以在预存款耗尽时准确核对费用，并应允许商户</w:t>
      </w:r>
      <w:r>
        <w:rPr>
          <w:spacing w:val="-1"/>
          <w:w w:val="99"/>
          <w:sz w:val="21"/>
        </w:rPr>
        <w:t>随时查询预存款余额情况；</w:t>
      </w:r>
    </w:p>
    <w:p>
      <w:pPr>
        <w:pStyle w:val="ListParagraph"/>
        <w:numPr>
          <w:ilvl w:val="4"/>
          <w:numId w:val="3"/>
        </w:numPr>
        <w:tabs>
          <w:tab w:pos="1068" w:val="left" w:leader="none"/>
        </w:tabs>
        <w:spacing w:line="278" w:lineRule="auto" w:before="0" w:after="0"/>
        <w:ind w:left="1068" w:right="415" w:hanging="425"/>
        <w:jc w:val="both"/>
        <w:rPr>
          <w:sz w:val="21"/>
        </w:rPr>
      </w:pPr>
      <w:r>
        <w:rPr>
          <w:spacing w:val="1"/>
          <w:w w:val="99"/>
          <w:sz w:val="21"/>
        </w:rPr>
        <w:t>对于选择后付费支付方式的商户，平台应以显著方式告知商户自动扣款的周期，并在每次发</w:t>
      </w:r>
      <w:r>
        <w:rPr>
          <w:spacing w:val="-1"/>
          <w:w w:val="99"/>
          <w:sz w:val="21"/>
        </w:rPr>
        <w:t>生扣款后的</w:t>
      </w:r>
      <w:r>
        <w:rPr>
          <w:spacing w:val="-50"/>
          <w:sz w:val="21"/>
        </w:rPr>
        <w:t> </w:t>
      </w:r>
      <w:r>
        <w:rPr>
          <w:spacing w:val="1"/>
          <w:w w:val="99"/>
          <w:sz w:val="21"/>
        </w:rPr>
        <w:t>2</w:t>
      </w:r>
      <w:r>
        <w:rPr>
          <w:spacing w:val="-2"/>
          <w:w w:val="99"/>
          <w:sz w:val="21"/>
        </w:rPr>
        <w:t>4</w:t>
      </w:r>
      <w:r>
        <w:rPr>
          <w:w w:val="99"/>
          <w:sz w:val="21"/>
        </w:rPr>
        <w:t>h</w:t>
      </w:r>
      <w:r>
        <w:rPr>
          <w:spacing w:val="-52"/>
          <w:sz w:val="21"/>
        </w:rPr>
        <w:t> </w:t>
      </w:r>
      <w:r>
        <w:rPr>
          <w:spacing w:val="-1"/>
          <w:w w:val="99"/>
          <w:sz w:val="21"/>
        </w:rPr>
        <w:t>内以显著方式向商户发送具体明细信息，确保商户可以准确核对费用。</w:t>
      </w:r>
    </w:p>
    <w:p>
      <w:pPr>
        <w:pStyle w:val="ListParagraph"/>
        <w:numPr>
          <w:ilvl w:val="2"/>
          <w:numId w:val="2"/>
        </w:numPr>
        <w:tabs>
          <w:tab w:pos="953" w:val="left" w:leader="none"/>
        </w:tabs>
        <w:spacing w:line="240" w:lineRule="auto" w:before="155" w:after="0"/>
        <w:ind w:left="952" w:right="0" w:hanging="735"/>
        <w:jc w:val="left"/>
        <w:rPr>
          <w:rFonts w:ascii="黑体" w:eastAsia="黑体"/>
          <w:sz w:val="21"/>
        </w:rPr>
      </w:pPr>
      <w:bookmarkStart w:name="5.1.3　推广服务费效果评估" w:id="17"/>
      <w:bookmarkEnd w:id="17"/>
      <w:r>
        <w:rPr>
          <w:rFonts w:ascii="黑体" w:eastAsia="黑体"/>
          <w:spacing w:val="-2"/>
          <w:w w:val="95"/>
          <w:sz w:val="21"/>
        </w:rPr>
        <w:t>推广服务费效果评估</w:t>
      </w:r>
    </w:p>
    <w:p>
      <w:pPr>
        <w:pStyle w:val="BodyText"/>
        <w:spacing w:before="7"/>
        <w:rPr>
          <w:rFonts w:ascii="黑体"/>
          <w:sz w:val="15"/>
        </w:rPr>
      </w:pPr>
    </w:p>
    <w:p>
      <w:pPr>
        <w:pStyle w:val="BodyText"/>
        <w:spacing w:line="278" w:lineRule="auto"/>
        <w:ind w:left="218" w:right="415" w:firstLine="420"/>
        <w:jc w:val="both"/>
      </w:pPr>
      <w:r>
        <w:rPr>
          <w:spacing w:val="-5"/>
          <w:w w:val="99"/>
        </w:rPr>
        <w:t>平台应为商户免费提供评估推广服务效果的工具和真实信息，包括但不限于推广点击量、推广点击</w:t>
      </w:r>
      <w:r>
        <w:rPr>
          <w:spacing w:val="-9"/>
          <w:w w:val="99"/>
        </w:rPr>
        <w:t>率、推广引导成交订单数、推广点击转化率、推广引导成交用户数、推广引导成交金额、推广投资回报</w:t>
      </w:r>
      <w:r>
        <w:rPr>
          <w:spacing w:val="-1"/>
          <w:w w:val="99"/>
        </w:rPr>
        <w:t>率等，引导商户科学合理开展流量推广和广告投放活动。</w:t>
      </w:r>
    </w:p>
    <w:p>
      <w:pPr>
        <w:pStyle w:val="ListParagraph"/>
        <w:numPr>
          <w:ilvl w:val="2"/>
          <w:numId w:val="2"/>
        </w:numPr>
        <w:tabs>
          <w:tab w:pos="953" w:val="left" w:leader="none"/>
        </w:tabs>
        <w:spacing w:line="240" w:lineRule="auto" w:before="156" w:after="0"/>
        <w:ind w:left="952" w:right="0" w:hanging="735"/>
        <w:jc w:val="left"/>
        <w:rPr>
          <w:rFonts w:ascii="黑体" w:eastAsia="黑体"/>
          <w:sz w:val="21"/>
        </w:rPr>
      </w:pPr>
      <w:bookmarkStart w:name="5.1.4　规则调整" w:id="18"/>
      <w:bookmarkEnd w:id="18"/>
      <w:r>
        <w:rPr>
          <w:rFonts w:ascii="黑体" w:eastAsia="黑体"/>
          <w:spacing w:val="-3"/>
          <w:w w:val="95"/>
          <w:sz w:val="21"/>
        </w:rPr>
        <w:t>规则调整</w:t>
      </w:r>
    </w:p>
    <w:p>
      <w:pPr>
        <w:pStyle w:val="BodyText"/>
        <w:spacing w:before="6"/>
        <w:rPr>
          <w:rFonts w:ascii="黑体"/>
          <w:sz w:val="15"/>
        </w:rPr>
      </w:pPr>
    </w:p>
    <w:p>
      <w:pPr>
        <w:pStyle w:val="BodyText"/>
        <w:spacing w:line="278" w:lineRule="auto" w:before="1"/>
        <w:ind w:left="218" w:right="412" w:firstLine="420"/>
      </w:pPr>
      <w:r>
        <w:rPr>
          <w:spacing w:val="-8"/>
          <w:w w:val="99"/>
        </w:rPr>
        <w:t>平台修改技术服务费、配送服务费、推广服务费收费项目、规则及标准等，或基于合理理由确需新</w:t>
      </w:r>
      <w:r>
        <w:rPr>
          <w:spacing w:val="-9"/>
          <w:w w:val="99"/>
        </w:rPr>
        <w:t>设收费项目的，应在首页显著位置公开征求意见，公示拟修改的内容和理由、新设收费项目的规则和标</w:t>
      </w:r>
    </w:p>
    <w:p>
      <w:pPr>
        <w:spacing w:after="0" w:line="278" w:lineRule="auto"/>
        <w:sectPr>
          <w:pgSz w:w="11910" w:h="16840"/>
          <w:pgMar w:header="1449" w:footer="1141" w:top="1640" w:bottom="1340" w:left="1200" w:right="720"/>
        </w:sectPr>
      </w:pPr>
    </w:p>
    <w:p>
      <w:pPr>
        <w:pStyle w:val="BodyText"/>
        <w:spacing w:before="3"/>
        <w:rPr>
          <w:sz w:val="17"/>
        </w:rPr>
      </w:pPr>
    </w:p>
    <w:p>
      <w:pPr>
        <w:pStyle w:val="BodyText"/>
        <w:spacing w:line="278" w:lineRule="auto" w:before="70"/>
        <w:ind w:left="218" w:right="412"/>
        <w:jc w:val="both"/>
      </w:pPr>
      <w:r>
        <w:rPr>
          <w:spacing w:val="-1"/>
          <w:w w:val="99"/>
        </w:rPr>
        <w:t>准等，并采取合理措施确保有关各方能够及时充分表达意见。公示期应当不少于</w:t>
      </w:r>
      <w:r>
        <w:rPr>
          <w:spacing w:val="1"/>
          <w:w w:val="99"/>
        </w:rPr>
        <w:t>7</w:t>
      </w:r>
      <w:r>
        <w:rPr>
          <w:spacing w:val="-1"/>
          <w:w w:val="99"/>
        </w:rPr>
        <w:t>日。新设收费项目可</w:t>
      </w:r>
      <w:r>
        <w:rPr>
          <w:spacing w:val="-7"/>
          <w:w w:val="99"/>
        </w:rPr>
        <w:t>能对商户权益造成重大影响的，应当根据其影响程度设置合理的过渡期，为商户妥善处理相关事宜提供</w:t>
      </w:r>
      <w:r>
        <w:rPr>
          <w:spacing w:val="-1"/>
          <w:w w:val="99"/>
        </w:rPr>
        <w:t>便利条件。</w:t>
      </w:r>
    </w:p>
    <w:p>
      <w:pPr>
        <w:pStyle w:val="ListParagraph"/>
        <w:numPr>
          <w:ilvl w:val="2"/>
          <w:numId w:val="2"/>
        </w:numPr>
        <w:tabs>
          <w:tab w:pos="953" w:val="left" w:leader="none"/>
        </w:tabs>
        <w:spacing w:line="240" w:lineRule="auto" w:before="156" w:after="0"/>
        <w:ind w:left="952" w:right="0" w:hanging="735"/>
        <w:jc w:val="left"/>
        <w:rPr>
          <w:rFonts w:ascii="黑体" w:eastAsia="黑体"/>
          <w:sz w:val="21"/>
        </w:rPr>
      </w:pPr>
      <w:bookmarkStart w:name="5.1.5　不合理收费情形" w:id="19"/>
      <w:bookmarkEnd w:id="19"/>
      <w:r>
        <w:rPr>
          <w:rFonts w:ascii="黑体" w:eastAsia="黑体"/>
          <w:spacing w:val="-2"/>
          <w:w w:val="95"/>
          <w:sz w:val="21"/>
        </w:rPr>
        <w:t>不合理收费情形</w:t>
      </w:r>
    </w:p>
    <w:p>
      <w:pPr>
        <w:pStyle w:val="BodyText"/>
        <w:spacing w:before="6"/>
        <w:rPr>
          <w:rFonts w:ascii="黑体"/>
          <w:sz w:val="15"/>
        </w:rPr>
      </w:pPr>
    </w:p>
    <w:p>
      <w:pPr>
        <w:pStyle w:val="BodyText"/>
        <w:ind w:left="638"/>
      </w:pPr>
      <w:r>
        <w:rPr>
          <w:spacing w:val="-1"/>
          <w:w w:val="95"/>
        </w:rPr>
        <w:t>平台不应以任何方式向商户收取不合理费用，包括但不限于以下情形：</w:t>
      </w:r>
    </w:p>
    <w:p>
      <w:pPr>
        <w:pStyle w:val="ListParagraph"/>
        <w:numPr>
          <w:ilvl w:val="3"/>
          <w:numId w:val="2"/>
        </w:numPr>
        <w:tabs>
          <w:tab w:pos="1068" w:val="left" w:leader="none"/>
        </w:tabs>
        <w:spacing w:line="240" w:lineRule="auto" w:before="43" w:after="0"/>
        <w:ind w:left="1068" w:right="0" w:hanging="425"/>
        <w:jc w:val="left"/>
        <w:rPr>
          <w:sz w:val="21"/>
        </w:rPr>
      </w:pPr>
      <w:r>
        <w:rPr>
          <w:spacing w:val="-1"/>
          <w:w w:val="95"/>
          <w:sz w:val="21"/>
        </w:rPr>
        <w:t>对同一订单的同一服务项目，以不同名目重复收取费用；</w:t>
      </w:r>
    </w:p>
    <w:p>
      <w:pPr>
        <w:pStyle w:val="ListParagraph"/>
        <w:numPr>
          <w:ilvl w:val="3"/>
          <w:numId w:val="2"/>
        </w:numPr>
        <w:tabs>
          <w:tab w:pos="1068" w:val="left" w:leader="none"/>
        </w:tabs>
        <w:spacing w:line="278" w:lineRule="auto" w:before="43" w:after="0"/>
        <w:ind w:left="1068" w:right="415" w:hanging="425"/>
        <w:jc w:val="left"/>
        <w:rPr>
          <w:sz w:val="21"/>
        </w:rPr>
      </w:pPr>
      <w:r>
        <w:rPr>
          <w:spacing w:val="1"/>
          <w:w w:val="99"/>
          <w:sz w:val="21"/>
        </w:rPr>
        <w:t>因非商户原因消费者取消订单导致交易并未真正完成的，平台仍向商户收取技术服务费和配</w:t>
      </w:r>
      <w:r>
        <w:rPr>
          <w:spacing w:val="-1"/>
          <w:w w:val="99"/>
          <w:sz w:val="21"/>
        </w:rPr>
        <w:t>送服务费；</w:t>
      </w:r>
    </w:p>
    <w:p>
      <w:pPr>
        <w:pStyle w:val="ListParagraph"/>
        <w:numPr>
          <w:ilvl w:val="3"/>
          <w:numId w:val="2"/>
        </w:numPr>
        <w:tabs>
          <w:tab w:pos="1068" w:val="left" w:leader="none"/>
        </w:tabs>
        <w:spacing w:line="269" w:lineRule="exact" w:before="0" w:after="0"/>
        <w:ind w:left="1068" w:right="0" w:hanging="425"/>
        <w:jc w:val="left"/>
        <w:rPr>
          <w:sz w:val="21"/>
        </w:rPr>
      </w:pPr>
      <w:r>
        <w:rPr>
          <w:spacing w:val="-1"/>
          <w:w w:val="95"/>
          <w:sz w:val="21"/>
        </w:rPr>
        <w:t>收取推广服务费，但未实际提供相应的流量推广、展示曝光等推广服务；</w:t>
      </w:r>
    </w:p>
    <w:p>
      <w:pPr>
        <w:pStyle w:val="ListParagraph"/>
        <w:numPr>
          <w:ilvl w:val="3"/>
          <w:numId w:val="2"/>
        </w:numPr>
        <w:tabs>
          <w:tab w:pos="1068" w:val="left" w:leader="none"/>
        </w:tabs>
        <w:spacing w:line="240" w:lineRule="auto" w:before="43" w:after="0"/>
        <w:ind w:left="1068" w:right="0" w:hanging="425"/>
        <w:jc w:val="left"/>
        <w:rPr>
          <w:sz w:val="21"/>
        </w:rPr>
      </w:pPr>
      <w:r>
        <w:rPr>
          <w:spacing w:val="-1"/>
          <w:w w:val="95"/>
          <w:sz w:val="21"/>
        </w:rPr>
        <w:t>向商户收取提供其基础经营数据的费用；</w:t>
      </w:r>
    </w:p>
    <w:p>
      <w:pPr>
        <w:pStyle w:val="ListParagraph"/>
        <w:numPr>
          <w:ilvl w:val="3"/>
          <w:numId w:val="2"/>
        </w:numPr>
        <w:tabs>
          <w:tab w:pos="1068" w:val="left" w:leader="none"/>
        </w:tabs>
        <w:spacing w:line="240" w:lineRule="auto" w:before="43" w:after="0"/>
        <w:ind w:left="1068" w:right="0" w:hanging="425"/>
        <w:jc w:val="left"/>
        <w:rPr>
          <w:sz w:val="21"/>
        </w:rPr>
      </w:pPr>
      <w:r>
        <w:rPr>
          <w:spacing w:val="-1"/>
          <w:w w:val="95"/>
          <w:sz w:val="21"/>
        </w:rPr>
        <w:t>强制或者变相强制商户购买服务或者参加推广、促销活动并收费；</w:t>
      </w:r>
    </w:p>
    <w:p>
      <w:pPr>
        <w:pStyle w:val="ListParagraph"/>
        <w:numPr>
          <w:ilvl w:val="3"/>
          <w:numId w:val="2"/>
        </w:numPr>
        <w:tabs>
          <w:tab w:pos="1068" w:val="left" w:leader="none"/>
        </w:tabs>
        <w:spacing w:line="240" w:lineRule="auto" w:before="43" w:after="0"/>
        <w:ind w:left="1068" w:right="0" w:hanging="425"/>
        <w:jc w:val="left"/>
        <w:rPr>
          <w:sz w:val="21"/>
        </w:rPr>
      </w:pPr>
      <w:r>
        <w:rPr>
          <w:spacing w:val="-1"/>
          <w:w w:val="95"/>
          <w:sz w:val="21"/>
        </w:rPr>
        <w:t>利用不合理的保证金等形式变相收费或者提高收费标准；</w:t>
      </w:r>
    </w:p>
    <w:p>
      <w:pPr>
        <w:pStyle w:val="ListParagraph"/>
        <w:numPr>
          <w:ilvl w:val="3"/>
          <w:numId w:val="2"/>
        </w:numPr>
        <w:tabs>
          <w:tab w:pos="1068" w:val="left" w:leader="none"/>
        </w:tabs>
        <w:spacing w:line="278" w:lineRule="auto" w:before="43" w:after="0"/>
        <w:ind w:left="1068" w:right="415" w:hanging="425"/>
        <w:jc w:val="left"/>
        <w:rPr>
          <w:sz w:val="21"/>
        </w:rPr>
      </w:pPr>
      <w:r>
        <w:rPr>
          <w:spacing w:val="1"/>
          <w:w w:val="99"/>
          <w:sz w:val="21"/>
        </w:rPr>
        <w:t>因商户是否购买平台流量推广等增值服务、是否跟随平台同步开展促销活动或是否接入平台</w:t>
      </w:r>
      <w:r>
        <w:rPr>
          <w:spacing w:val="-1"/>
          <w:w w:val="99"/>
          <w:sz w:val="21"/>
        </w:rPr>
        <w:t>指定工具等因素实行差异化的技术服务费收费标准；</w:t>
      </w:r>
    </w:p>
    <w:p>
      <w:pPr>
        <w:pStyle w:val="ListParagraph"/>
        <w:numPr>
          <w:ilvl w:val="3"/>
          <w:numId w:val="2"/>
        </w:numPr>
        <w:tabs>
          <w:tab w:pos="1068" w:val="left" w:leader="none"/>
        </w:tabs>
        <w:spacing w:line="269" w:lineRule="exact" w:before="0" w:after="0"/>
        <w:ind w:left="1068" w:right="0" w:hanging="425"/>
        <w:jc w:val="left"/>
        <w:rPr>
          <w:sz w:val="21"/>
        </w:rPr>
      </w:pPr>
      <w:r>
        <w:rPr>
          <w:spacing w:val="-1"/>
          <w:w w:val="95"/>
          <w:sz w:val="21"/>
        </w:rPr>
        <w:t>通过提高技术服务费或配送服务费的方式作为对商户的惩罚性措施；</w:t>
      </w:r>
    </w:p>
    <w:p>
      <w:pPr>
        <w:pStyle w:val="ListParagraph"/>
        <w:numPr>
          <w:ilvl w:val="3"/>
          <w:numId w:val="2"/>
        </w:numPr>
        <w:tabs>
          <w:tab w:pos="1068" w:val="left" w:leader="none"/>
        </w:tabs>
        <w:spacing w:line="240" w:lineRule="auto" w:before="43" w:after="0"/>
        <w:ind w:left="1068" w:right="0" w:hanging="425"/>
        <w:jc w:val="left"/>
        <w:rPr>
          <w:sz w:val="21"/>
        </w:rPr>
      </w:pPr>
      <w:r>
        <w:rPr>
          <w:spacing w:val="-1"/>
          <w:w w:val="95"/>
          <w:sz w:val="21"/>
        </w:rPr>
        <w:t>收取其他不合理费用。</w:t>
      </w:r>
    </w:p>
    <w:p>
      <w:pPr>
        <w:pStyle w:val="BodyText"/>
        <w:spacing w:before="6"/>
        <w:rPr>
          <w:sz w:val="15"/>
        </w:rPr>
      </w:pPr>
    </w:p>
    <w:p>
      <w:pPr>
        <w:pStyle w:val="ListParagraph"/>
        <w:numPr>
          <w:ilvl w:val="2"/>
          <w:numId w:val="2"/>
        </w:numPr>
        <w:tabs>
          <w:tab w:pos="953" w:val="left" w:leader="none"/>
        </w:tabs>
        <w:spacing w:line="240" w:lineRule="auto" w:before="1" w:after="0"/>
        <w:ind w:left="952" w:right="0" w:hanging="735"/>
        <w:jc w:val="left"/>
        <w:rPr>
          <w:rFonts w:ascii="黑体" w:eastAsia="黑体"/>
          <w:sz w:val="21"/>
        </w:rPr>
      </w:pPr>
      <w:bookmarkStart w:name="5.1.6　合规审核" w:id="20"/>
      <w:bookmarkEnd w:id="20"/>
      <w:r>
        <w:rPr>
          <w:rFonts w:ascii="黑体" w:eastAsia="黑体"/>
          <w:spacing w:val="-3"/>
          <w:w w:val="95"/>
          <w:sz w:val="21"/>
        </w:rPr>
        <w:t>合规审核</w:t>
      </w:r>
    </w:p>
    <w:p>
      <w:pPr>
        <w:pStyle w:val="BodyText"/>
        <w:spacing w:before="6"/>
        <w:rPr>
          <w:rFonts w:ascii="黑体"/>
          <w:sz w:val="15"/>
        </w:rPr>
      </w:pPr>
    </w:p>
    <w:p>
      <w:pPr>
        <w:pStyle w:val="ListParagraph"/>
        <w:numPr>
          <w:ilvl w:val="3"/>
          <w:numId w:val="4"/>
        </w:numPr>
        <w:tabs>
          <w:tab w:pos="1164" w:val="left" w:leader="none"/>
        </w:tabs>
        <w:spacing w:line="240" w:lineRule="auto" w:before="0" w:after="0"/>
        <w:ind w:left="1164" w:right="0" w:hanging="946"/>
        <w:jc w:val="both"/>
        <w:rPr>
          <w:sz w:val="21"/>
        </w:rPr>
      </w:pPr>
      <w:r>
        <w:rPr>
          <w:spacing w:val="-1"/>
          <w:w w:val="95"/>
          <w:sz w:val="21"/>
        </w:rPr>
        <w:t>平台在出台、修改平台收费规则前，应当对收费合规情况进行审核。</w:t>
      </w:r>
    </w:p>
    <w:p>
      <w:pPr>
        <w:pStyle w:val="ListParagraph"/>
        <w:numPr>
          <w:ilvl w:val="3"/>
          <w:numId w:val="4"/>
        </w:numPr>
        <w:tabs>
          <w:tab w:pos="1164" w:val="left" w:leader="none"/>
        </w:tabs>
        <w:spacing w:line="278" w:lineRule="auto" w:before="43" w:after="0"/>
        <w:ind w:left="218" w:right="412" w:firstLine="0"/>
        <w:jc w:val="both"/>
        <w:rPr>
          <w:sz w:val="21"/>
        </w:rPr>
      </w:pPr>
      <w:r>
        <w:rPr>
          <w:spacing w:val="-1"/>
          <w:w w:val="99"/>
          <w:sz w:val="21"/>
        </w:rPr>
        <w:t>平台应在整体合规报告中纳入收费合规事项，就平台收费透明度情况、定价公平公正及合法</w:t>
      </w:r>
      <w:r>
        <w:rPr>
          <w:spacing w:val="-9"/>
          <w:w w:val="99"/>
          <w:sz w:val="21"/>
        </w:rPr>
        <w:t>合理情况、商户收费投诉处理情况等进行评估，并就发现的问题及时主动合规整改。平台可向市场监管</w:t>
      </w:r>
      <w:r>
        <w:rPr>
          <w:spacing w:val="-1"/>
          <w:w w:val="99"/>
          <w:sz w:val="21"/>
        </w:rPr>
        <w:t>部门报告收费合规情况。</w:t>
      </w:r>
    </w:p>
    <w:p>
      <w:pPr>
        <w:pStyle w:val="ListParagraph"/>
        <w:numPr>
          <w:ilvl w:val="2"/>
          <w:numId w:val="2"/>
        </w:numPr>
        <w:tabs>
          <w:tab w:pos="953" w:val="left" w:leader="none"/>
        </w:tabs>
        <w:spacing w:line="240" w:lineRule="auto" w:before="156" w:after="0"/>
        <w:ind w:left="952" w:right="0" w:hanging="735"/>
        <w:jc w:val="left"/>
        <w:rPr>
          <w:rFonts w:ascii="黑体" w:eastAsia="黑体"/>
          <w:sz w:val="21"/>
        </w:rPr>
      </w:pPr>
      <w:bookmarkStart w:name="5.1.7　救济机制" w:id="21"/>
      <w:bookmarkEnd w:id="21"/>
      <w:r>
        <w:rPr>
          <w:rFonts w:ascii="黑体" w:eastAsia="黑体"/>
          <w:spacing w:val="-3"/>
          <w:w w:val="95"/>
          <w:sz w:val="21"/>
        </w:rPr>
        <w:t>救济机制</w:t>
      </w:r>
    </w:p>
    <w:p>
      <w:pPr>
        <w:pStyle w:val="BodyText"/>
        <w:spacing w:before="7"/>
        <w:rPr>
          <w:rFonts w:ascii="黑体"/>
          <w:sz w:val="15"/>
        </w:rPr>
      </w:pPr>
    </w:p>
    <w:p>
      <w:pPr>
        <w:pStyle w:val="ListParagraph"/>
        <w:numPr>
          <w:ilvl w:val="3"/>
          <w:numId w:val="5"/>
        </w:numPr>
        <w:tabs>
          <w:tab w:pos="1164" w:val="left" w:leader="none"/>
        </w:tabs>
        <w:spacing w:line="278" w:lineRule="auto" w:before="0" w:after="0"/>
        <w:ind w:left="218" w:right="412" w:firstLine="0"/>
        <w:jc w:val="left"/>
        <w:rPr>
          <w:sz w:val="21"/>
        </w:rPr>
      </w:pPr>
      <w:r>
        <w:rPr>
          <w:spacing w:val="-1"/>
          <w:w w:val="99"/>
          <w:sz w:val="21"/>
        </w:rPr>
        <w:t>平台应提供人工客服的申诉渠道，支持商户对平台收费计算结果提出异议，并综合运用人工判定、技术手段等方式，客观公正处理申诉内容，并在</w:t>
      </w:r>
      <w:r>
        <w:rPr>
          <w:spacing w:val="-53"/>
          <w:sz w:val="21"/>
        </w:rPr>
        <w:t> </w:t>
      </w:r>
      <w:r>
        <w:rPr>
          <w:w w:val="99"/>
          <w:sz w:val="21"/>
        </w:rPr>
        <w:t>7</w:t>
      </w:r>
      <w:r>
        <w:rPr>
          <w:spacing w:val="-52"/>
          <w:sz w:val="21"/>
        </w:rPr>
        <w:t> </w:t>
      </w:r>
      <w:r>
        <w:rPr>
          <w:spacing w:val="-1"/>
          <w:w w:val="99"/>
          <w:sz w:val="21"/>
        </w:rPr>
        <w:t>日内反馈处理结果。</w:t>
      </w:r>
    </w:p>
    <w:p>
      <w:pPr>
        <w:pStyle w:val="ListParagraph"/>
        <w:numPr>
          <w:ilvl w:val="3"/>
          <w:numId w:val="5"/>
        </w:numPr>
        <w:tabs>
          <w:tab w:pos="1164" w:val="left" w:leader="none"/>
        </w:tabs>
        <w:spacing w:line="278" w:lineRule="auto" w:before="0" w:after="0"/>
        <w:ind w:left="218" w:right="412" w:firstLine="0"/>
        <w:jc w:val="left"/>
        <w:rPr>
          <w:sz w:val="21"/>
        </w:rPr>
      </w:pPr>
      <w:r>
        <w:rPr>
          <w:spacing w:val="-1"/>
          <w:w w:val="99"/>
          <w:sz w:val="21"/>
        </w:rPr>
        <w:t>平台应建立申诉复核机制，针对商户对申诉处理结果有异议且提交合理证据的，提供人工复核渠道，并于</w:t>
      </w:r>
      <w:r>
        <w:rPr>
          <w:spacing w:val="-53"/>
          <w:sz w:val="21"/>
        </w:rPr>
        <w:t> </w:t>
      </w:r>
      <w:r>
        <w:rPr>
          <w:w w:val="99"/>
          <w:sz w:val="21"/>
        </w:rPr>
        <w:t>4</w:t>
      </w:r>
      <w:r>
        <w:rPr>
          <w:spacing w:val="-52"/>
          <w:sz w:val="21"/>
        </w:rPr>
        <w:t> </w:t>
      </w:r>
      <w:r>
        <w:rPr>
          <w:spacing w:val="-1"/>
          <w:w w:val="99"/>
          <w:sz w:val="21"/>
        </w:rPr>
        <w:t>日内完成复核，保障商户权利。</w:t>
      </w:r>
    </w:p>
    <w:p>
      <w:pPr>
        <w:pStyle w:val="ListParagraph"/>
        <w:numPr>
          <w:ilvl w:val="3"/>
          <w:numId w:val="5"/>
        </w:numPr>
        <w:tabs>
          <w:tab w:pos="1164" w:val="left" w:leader="none"/>
        </w:tabs>
        <w:spacing w:line="278" w:lineRule="auto" w:before="0" w:after="0"/>
        <w:ind w:left="218" w:right="415" w:firstLine="0"/>
        <w:jc w:val="left"/>
        <w:rPr>
          <w:sz w:val="21"/>
        </w:rPr>
      </w:pPr>
      <w:r>
        <w:rPr>
          <w:spacing w:val="-1"/>
          <w:w w:val="99"/>
          <w:sz w:val="21"/>
        </w:rPr>
        <w:t>经申诉或者复核，确属平台计算有误导致商户合法权益受损的，平台应于确认后的</w:t>
      </w:r>
      <w:r>
        <w:rPr>
          <w:spacing w:val="-53"/>
          <w:sz w:val="21"/>
        </w:rPr>
        <w:t> </w:t>
      </w:r>
      <w:r>
        <w:rPr>
          <w:w w:val="99"/>
          <w:sz w:val="21"/>
        </w:rPr>
        <w:t>7</w:t>
      </w:r>
      <w:r>
        <w:rPr>
          <w:spacing w:val="-54"/>
          <w:sz w:val="21"/>
        </w:rPr>
        <w:t> </w:t>
      </w:r>
      <w:r>
        <w:rPr>
          <w:w w:val="99"/>
          <w:sz w:val="21"/>
        </w:rPr>
        <w:t>个工作</w:t>
      </w:r>
      <w:r>
        <w:rPr>
          <w:spacing w:val="-1"/>
          <w:w w:val="99"/>
          <w:sz w:val="21"/>
        </w:rPr>
        <w:t>日内向商户返还多收取的费用。</w:t>
      </w:r>
    </w:p>
    <w:p>
      <w:pPr>
        <w:pStyle w:val="ListParagraph"/>
        <w:numPr>
          <w:ilvl w:val="1"/>
          <w:numId w:val="6"/>
        </w:numPr>
        <w:tabs>
          <w:tab w:pos="744" w:val="left" w:leader="none"/>
        </w:tabs>
        <w:spacing w:line="240" w:lineRule="auto" w:before="155" w:after="0"/>
        <w:ind w:left="744" w:right="0" w:hanging="526"/>
        <w:jc w:val="left"/>
        <w:rPr>
          <w:rFonts w:ascii="黑体" w:eastAsia="黑体"/>
          <w:sz w:val="21"/>
        </w:rPr>
      </w:pPr>
      <w:bookmarkStart w:name="5.2　价格促销管理" w:id="22"/>
      <w:bookmarkEnd w:id="22"/>
      <w:r>
        <w:rPr/>
      </w:r>
      <w:bookmarkStart w:name="_bookmark7" w:id="23"/>
      <w:bookmarkEnd w:id="23"/>
      <w:r>
        <w:rPr>
          <w:rFonts w:ascii="黑体" w:eastAsia="黑体"/>
          <w:spacing w:val="-2"/>
          <w:w w:val="95"/>
          <w:sz w:val="21"/>
        </w:rPr>
        <w:t>价格促销管理</w:t>
      </w:r>
    </w:p>
    <w:p>
      <w:pPr>
        <w:pStyle w:val="BodyText"/>
        <w:spacing w:before="7"/>
        <w:rPr>
          <w:rFonts w:ascii="黑体"/>
          <w:sz w:val="15"/>
        </w:rPr>
      </w:pPr>
    </w:p>
    <w:p>
      <w:pPr>
        <w:pStyle w:val="ListParagraph"/>
        <w:numPr>
          <w:ilvl w:val="2"/>
          <w:numId w:val="6"/>
        </w:numPr>
        <w:tabs>
          <w:tab w:pos="953" w:val="left" w:leader="none"/>
        </w:tabs>
        <w:spacing w:line="240" w:lineRule="auto" w:before="0" w:after="0"/>
        <w:ind w:left="952" w:right="0" w:hanging="735"/>
        <w:jc w:val="left"/>
        <w:rPr>
          <w:rFonts w:ascii="黑体" w:eastAsia="黑体"/>
          <w:sz w:val="21"/>
        </w:rPr>
      </w:pPr>
      <w:bookmarkStart w:name="5.2.1　基本原则" w:id="24"/>
      <w:bookmarkEnd w:id="24"/>
      <w:r>
        <w:rPr>
          <w:rFonts w:ascii="黑体" w:eastAsia="黑体"/>
          <w:spacing w:val="-3"/>
          <w:w w:val="95"/>
          <w:sz w:val="21"/>
        </w:rPr>
        <w:t>基本原则</w:t>
      </w:r>
    </w:p>
    <w:p>
      <w:pPr>
        <w:pStyle w:val="BodyText"/>
        <w:spacing w:before="6"/>
        <w:rPr>
          <w:rFonts w:ascii="黑体"/>
          <w:sz w:val="15"/>
        </w:rPr>
      </w:pPr>
    </w:p>
    <w:p>
      <w:pPr>
        <w:pStyle w:val="ListParagraph"/>
        <w:numPr>
          <w:ilvl w:val="3"/>
          <w:numId w:val="6"/>
        </w:numPr>
        <w:tabs>
          <w:tab w:pos="1164" w:val="left" w:leader="none"/>
        </w:tabs>
        <w:spacing w:line="240" w:lineRule="auto" w:before="1" w:after="0"/>
        <w:ind w:left="1164" w:right="0" w:hanging="946"/>
        <w:jc w:val="left"/>
        <w:rPr>
          <w:rFonts w:ascii="黑体" w:eastAsia="黑体"/>
          <w:sz w:val="21"/>
        </w:rPr>
      </w:pPr>
      <w:bookmarkStart w:name="5.2.1.1　合规性" w:id="25"/>
      <w:bookmarkEnd w:id="25"/>
      <w:r>
        <w:rPr>
          <w:rFonts w:ascii="黑体" w:eastAsia="黑体"/>
          <w:spacing w:val="-4"/>
          <w:w w:val="95"/>
          <w:sz w:val="21"/>
        </w:rPr>
        <w:t>合规性</w:t>
      </w:r>
    </w:p>
    <w:p>
      <w:pPr>
        <w:pStyle w:val="BodyText"/>
        <w:spacing w:before="6"/>
        <w:rPr>
          <w:rFonts w:ascii="黑体"/>
          <w:sz w:val="15"/>
        </w:rPr>
      </w:pPr>
    </w:p>
    <w:p>
      <w:pPr>
        <w:pStyle w:val="BodyText"/>
        <w:ind w:left="638"/>
      </w:pPr>
      <w:r>
        <w:rPr>
          <w:w w:val="95"/>
        </w:rPr>
        <w:t>平台上开展的价格促销活动，应严格遵守相关法律法规要求，</w:t>
      </w:r>
      <w:r>
        <w:rPr>
          <w:w w:val="95"/>
        </w:rPr>
        <w:t>避</w:t>
      </w:r>
      <w:r>
        <w:rPr>
          <w:spacing w:val="-2"/>
          <w:w w:val="95"/>
        </w:rPr>
        <w:t>免出现以下情形：</w:t>
      </w:r>
    </w:p>
    <w:p>
      <w:pPr>
        <w:pStyle w:val="ListParagraph"/>
        <w:numPr>
          <w:ilvl w:val="4"/>
          <w:numId w:val="6"/>
        </w:numPr>
        <w:tabs>
          <w:tab w:pos="1068" w:val="left" w:leader="none"/>
        </w:tabs>
        <w:spacing w:line="240" w:lineRule="auto" w:before="43" w:after="0"/>
        <w:ind w:left="1068" w:right="0" w:hanging="425"/>
        <w:jc w:val="left"/>
        <w:rPr>
          <w:sz w:val="21"/>
        </w:rPr>
      </w:pPr>
      <w:r>
        <w:rPr>
          <w:spacing w:val="-1"/>
          <w:w w:val="95"/>
          <w:sz w:val="21"/>
        </w:rPr>
        <w:t>利用虚假商业信息、虚构交易或者评价等方式作虚假或者引人误解的商业宣传；</w:t>
      </w:r>
    </w:p>
    <w:p>
      <w:pPr>
        <w:pStyle w:val="ListParagraph"/>
        <w:numPr>
          <w:ilvl w:val="4"/>
          <w:numId w:val="6"/>
        </w:numPr>
        <w:tabs>
          <w:tab w:pos="1068" w:val="left" w:leader="none"/>
        </w:tabs>
        <w:spacing w:line="240" w:lineRule="auto" w:before="43" w:after="0"/>
        <w:ind w:left="1068" w:right="0" w:hanging="425"/>
        <w:jc w:val="left"/>
        <w:rPr>
          <w:sz w:val="21"/>
        </w:rPr>
      </w:pPr>
      <w:r>
        <w:rPr>
          <w:spacing w:val="-1"/>
          <w:w w:val="95"/>
          <w:sz w:val="21"/>
        </w:rPr>
        <w:t>直接或者间接为商户虚构交易、成交量或者虚假用户评价；</w:t>
      </w:r>
    </w:p>
    <w:p>
      <w:pPr>
        <w:pStyle w:val="ListParagraph"/>
        <w:numPr>
          <w:ilvl w:val="4"/>
          <w:numId w:val="6"/>
        </w:numPr>
        <w:tabs>
          <w:tab w:pos="1068" w:val="left" w:leader="none"/>
        </w:tabs>
        <w:spacing w:line="240" w:lineRule="auto" w:before="43" w:after="0"/>
        <w:ind w:left="1068" w:right="0" w:hanging="425"/>
        <w:jc w:val="left"/>
        <w:rPr>
          <w:sz w:val="21"/>
        </w:rPr>
      </w:pPr>
      <w:r>
        <w:rPr>
          <w:spacing w:val="-1"/>
          <w:w w:val="95"/>
          <w:sz w:val="21"/>
        </w:rPr>
        <w:t>低价诱骗高价结算、先提价后打折、虚假折价、虚假标价、不履行价格承诺等价格欺诈行为；</w:t>
      </w:r>
    </w:p>
    <w:p>
      <w:pPr>
        <w:pStyle w:val="ListParagraph"/>
        <w:numPr>
          <w:ilvl w:val="4"/>
          <w:numId w:val="6"/>
        </w:numPr>
        <w:tabs>
          <w:tab w:pos="1068" w:val="left" w:leader="none"/>
        </w:tabs>
        <w:spacing w:line="240" w:lineRule="auto" w:before="43" w:after="0"/>
        <w:ind w:left="1068" w:right="0" w:hanging="425"/>
        <w:jc w:val="left"/>
        <w:rPr>
          <w:sz w:val="21"/>
        </w:rPr>
      </w:pPr>
      <w:r>
        <w:rPr>
          <w:spacing w:val="-1"/>
          <w:w w:val="95"/>
          <w:sz w:val="21"/>
        </w:rPr>
        <w:t>为了排挤竞争对手或者独占市场，以低于成本的价格促销，扰乱正常的市场价格秩序。</w:t>
      </w:r>
    </w:p>
    <w:p>
      <w:pPr>
        <w:pStyle w:val="BodyText"/>
        <w:spacing w:before="7"/>
        <w:rPr>
          <w:sz w:val="15"/>
        </w:rPr>
      </w:pPr>
    </w:p>
    <w:p>
      <w:pPr>
        <w:pStyle w:val="ListParagraph"/>
        <w:numPr>
          <w:ilvl w:val="3"/>
          <w:numId w:val="6"/>
        </w:numPr>
        <w:tabs>
          <w:tab w:pos="1164" w:val="left" w:leader="none"/>
        </w:tabs>
        <w:spacing w:line="240" w:lineRule="auto" w:before="0" w:after="0"/>
        <w:ind w:left="1164" w:right="0" w:hanging="946"/>
        <w:jc w:val="left"/>
        <w:rPr>
          <w:rFonts w:ascii="黑体" w:eastAsia="黑体"/>
          <w:sz w:val="21"/>
        </w:rPr>
      </w:pPr>
      <w:bookmarkStart w:name="5.2.1.2　透明性" w:id="26"/>
      <w:bookmarkEnd w:id="26"/>
      <w:r>
        <w:rPr>
          <w:rFonts w:ascii="黑体" w:eastAsia="黑体"/>
          <w:spacing w:val="-4"/>
          <w:w w:val="95"/>
          <w:sz w:val="21"/>
        </w:rPr>
        <w:t>透明性</w:t>
      </w:r>
    </w:p>
    <w:p>
      <w:pPr>
        <w:spacing w:after="0" w:line="240" w:lineRule="auto"/>
        <w:jc w:val="left"/>
        <w:rPr>
          <w:rFonts w:ascii="黑体" w:eastAsia="黑体"/>
          <w:sz w:val="21"/>
        </w:rPr>
        <w:sectPr>
          <w:pgSz w:w="11910" w:h="16840"/>
          <w:pgMar w:header="1449" w:footer="1141" w:top="1640" w:bottom="1340" w:left="1200" w:right="720"/>
        </w:sectPr>
      </w:pPr>
    </w:p>
    <w:p>
      <w:pPr>
        <w:pStyle w:val="BodyText"/>
        <w:spacing w:before="3"/>
        <w:rPr>
          <w:rFonts w:ascii="黑体"/>
          <w:sz w:val="17"/>
        </w:rPr>
      </w:pPr>
    </w:p>
    <w:p>
      <w:pPr>
        <w:pStyle w:val="BodyText"/>
        <w:spacing w:before="70"/>
        <w:ind w:left="638"/>
      </w:pPr>
      <w:r>
        <w:rPr>
          <w:spacing w:val="-1"/>
          <w:w w:val="95"/>
        </w:rPr>
        <w:t>对于促销信息的内容，应满足以下要求：</w:t>
      </w:r>
    </w:p>
    <w:p>
      <w:pPr>
        <w:pStyle w:val="ListParagraph"/>
        <w:numPr>
          <w:ilvl w:val="4"/>
          <w:numId w:val="6"/>
        </w:numPr>
        <w:tabs>
          <w:tab w:pos="1068" w:val="left" w:leader="none"/>
        </w:tabs>
        <w:spacing w:line="240" w:lineRule="auto" w:before="43" w:after="0"/>
        <w:ind w:left="1068" w:right="0" w:hanging="425"/>
        <w:jc w:val="left"/>
        <w:rPr>
          <w:sz w:val="21"/>
        </w:rPr>
      </w:pPr>
      <w:r>
        <w:rPr>
          <w:spacing w:val="-1"/>
          <w:w w:val="95"/>
          <w:sz w:val="21"/>
        </w:rPr>
        <w:t>真实准确、清晰醒目标示价格促销活动信息；</w:t>
      </w:r>
    </w:p>
    <w:p>
      <w:pPr>
        <w:pStyle w:val="ListParagraph"/>
        <w:numPr>
          <w:ilvl w:val="4"/>
          <w:numId w:val="6"/>
        </w:numPr>
        <w:tabs>
          <w:tab w:pos="1068" w:val="left" w:leader="none"/>
        </w:tabs>
        <w:spacing w:line="278" w:lineRule="auto" w:before="43" w:after="0"/>
        <w:ind w:left="1068" w:right="415" w:hanging="425"/>
        <w:jc w:val="left"/>
        <w:rPr>
          <w:sz w:val="21"/>
        </w:rPr>
      </w:pPr>
      <w:r>
        <w:rPr>
          <w:spacing w:val="1"/>
          <w:w w:val="99"/>
          <w:sz w:val="21"/>
        </w:rPr>
        <w:t>促销活动规则应简单易懂，对特定条件或时间限制等约束条件应当显著标明，避免使消费者</w:t>
      </w:r>
      <w:r>
        <w:rPr>
          <w:spacing w:val="-1"/>
          <w:w w:val="99"/>
          <w:sz w:val="21"/>
        </w:rPr>
        <w:t>产生误解。</w:t>
      </w:r>
    </w:p>
    <w:p>
      <w:pPr>
        <w:pStyle w:val="ListParagraph"/>
        <w:numPr>
          <w:ilvl w:val="2"/>
          <w:numId w:val="6"/>
        </w:numPr>
        <w:tabs>
          <w:tab w:pos="953" w:val="left" w:leader="none"/>
        </w:tabs>
        <w:spacing w:line="240" w:lineRule="auto" w:before="156" w:after="0"/>
        <w:ind w:left="952" w:right="0" w:hanging="735"/>
        <w:jc w:val="left"/>
        <w:rPr>
          <w:rFonts w:ascii="黑体" w:eastAsia="黑体"/>
          <w:sz w:val="21"/>
        </w:rPr>
      </w:pPr>
      <w:bookmarkStart w:name="5.2.2　促销方式" w:id="27"/>
      <w:bookmarkEnd w:id="27"/>
      <w:r>
        <w:rPr>
          <w:rFonts w:ascii="黑体" w:eastAsia="黑体"/>
          <w:spacing w:val="-3"/>
          <w:w w:val="95"/>
          <w:sz w:val="21"/>
        </w:rPr>
        <w:t>促销方式</w:t>
      </w:r>
    </w:p>
    <w:p>
      <w:pPr>
        <w:pStyle w:val="BodyText"/>
        <w:spacing w:before="6"/>
        <w:rPr>
          <w:rFonts w:ascii="黑体"/>
          <w:sz w:val="15"/>
        </w:rPr>
      </w:pPr>
    </w:p>
    <w:p>
      <w:pPr>
        <w:pStyle w:val="BodyText"/>
        <w:ind w:left="638"/>
      </w:pPr>
      <w:r>
        <w:rPr>
          <w:spacing w:val="-1"/>
          <w:w w:val="95"/>
        </w:rPr>
        <w:t>价格促销方式包括平台价格促销和商户价格促销。</w:t>
      </w:r>
    </w:p>
    <w:p>
      <w:pPr>
        <w:pStyle w:val="BodyText"/>
        <w:spacing w:before="7"/>
        <w:rPr>
          <w:sz w:val="15"/>
        </w:rPr>
      </w:pPr>
    </w:p>
    <w:p>
      <w:pPr>
        <w:pStyle w:val="ListParagraph"/>
        <w:numPr>
          <w:ilvl w:val="2"/>
          <w:numId w:val="6"/>
        </w:numPr>
        <w:tabs>
          <w:tab w:pos="953" w:val="left" w:leader="none"/>
        </w:tabs>
        <w:spacing w:line="240" w:lineRule="auto" w:before="0" w:after="0"/>
        <w:ind w:left="952" w:right="0" w:hanging="735"/>
        <w:jc w:val="left"/>
        <w:rPr>
          <w:rFonts w:ascii="黑体" w:eastAsia="黑体"/>
          <w:sz w:val="21"/>
        </w:rPr>
      </w:pPr>
      <w:bookmarkStart w:name="5.2.3　平台价格促销" w:id="28"/>
      <w:bookmarkEnd w:id="28"/>
      <w:r>
        <w:rPr>
          <w:rFonts w:ascii="黑体" w:eastAsia="黑体"/>
          <w:spacing w:val="-2"/>
          <w:w w:val="95"/>
          <w:sz w:val="21"/>
        </w:rPr>
        <w:t>平台价格促销</w:t>
      </w:r>
    </w:p>
    <w:p>
      <w:pPr>
        <w:pStyle w:val="BodyText"/>
        <w:spacing w:before="7"/>
        <w:rPr>
          <w:rFonts w:ascii="黑体"/>
          <w:sz w:val="15"/>
        </w:rPr>
      </w:pPr>
    </w:p>
    <w:p>
      <w:pPr>
        <w:pStyle w:val="ListParagraph"/>
        <w:numPr>
          <w:ilvl w:val="3"/>
          <w:numId w:val="6"/>
        </w:numPr>
        <w:tabs>
          <w:tab w:pos="1164" w:val="left" w:leader="none"/>
        </w:tabs>
        <w:spacing w:line="278" w:lineRule="auto" w:before="0" w:after="0"/>
        <w:ind w:left="218" w:right="415" w:firstLine="0"/>
        <w:jc w:val="left"/>
        <w:rPr>
          <w:sz w:val="21"/>
        </w:rPr>
      </w:pPr>
      <w:r>
        <w:rPr>
          <w:spacing w:val="-1"/>
          <w:w w:val="99"/>
          <w:sz w:val="21"/>
        </w:rPr>
        <w:t>平台开展价格促销活动，相应成本应由平台自身承担，不应要求商户或配送员进行分摊，或通过推广工具捆绑、临时上调服务收费等方式，将促销活动成本变相转嫁给商户或配送员。</w:t>
      </w:r>
    </w:p>
    <w:p>
      <w:pPr>
        <w:pStyle w:val="ListParagraph"/>
        <w:numPr>
          <w:ilvl w:val="3"/>
          <w:numId w:val="6"/>
        </w:numPr>
        <w:tabs>
          <w:tab w:pos="1164" w:val="left" w:leader="none"/>
        </w:tabs>
        <w:spacing w:line="278" w:lineRule="auto" w:before="0" w:after="0"/>
        <w:ind w:left="218" w:right="415" w:firstLine="0"/>
        <w:jc w:val="left"/>
        <w:rPr>
          <w:sz w:val="21"/>
        </w:rPr>
      </w:pPr>
      <w:r>
        <w:rPr>
          <w:spacing w:val="-1"/>
          <w:w w:val="99"/>
          <w:sz w:val="21"/>
        </w:rPr>
        <w:t>平台应至少提前</w:t>
      </w:r>
      <w:r>
        <w:rPr>
          <w:spacing w:val="-53"/>
          <w:sz w:val="21"/>
        </w:rPr>
        <w:t> </w:t>
      </w:r>
      <w:r>
        <w:rPr>
          <w:w w:val="99"/>
          <w:sz w:val="21"/>
        </w:rPr>
        <w:t>5</w:t>
      </w:r>
      <w:r>
        <w:rPr>
          <w:spacing w:val="-54"/>
          <w:sz w:val="21"/>
        </w:rPr>
        <w:t> </w:t>
      </w:r>
      <w:r>
        <w:rPr>
          <w:spacing w:val="-1"/>
          <w:w w:val="99"/>
          <w:sz w:val="21"/>
        </w:rPr>
        <w:t>日明确告知商户价格促销覆盖的范围、促销的规则、开展的期限等有关活动安排，避免商户出现备货不足、无法按时履约等情况。</w:t>
      </w:r>
    </w:p>
    <w:p>
      <w:pPr>
        <w:pStyle w:val="ListParagraph"/>
        <w:numPr>
          <w:ilvl w:val="3"/>
          <w:numId w:val="6"/>
        </w:numPr>
        <w:tabs>
          <w:tab w:pos="1164" w:val="left" w:leader="none"/>
        </w:tabs>
        <w:spacing w:line="278" w:lineRule="auto" w:before="0" w:after="0"/>
        <w:ind w:left="218" w:right="412" w:firstLine="0"/>
        <w:jc w:val="left"/>
        <w:rPr>
          <w:sz w:val="21"/>
        </w:rPr>
      </w:pPr>
      <w:r>
        <w:rPr>
          <w:spacing w:val="-1"/>
          <w:w w:val="99"/>
          <w:sz w:val="21"/>
        </w:rPr>
        <w:t>平台价格促销活动应公开透明，促销规则应坚持公平无歧视原则，确保对交易条件相同的商户平等适用。</w:t>
      </w:r>
    </w:p>
    <w:p>
      <w:pPr>
        <w:pStyle w:val="ListParagraph"/>
        <w:numPr>
          <w:ilvl w:val="3"/>
          <w:numId w:val="6"/>
        </w:numPr>
        <w:tabs>
          <w:tab w:pos="1164" w:val="left" w:leader="none"/>
        </w:tabs>
        <w:spacing w:line="269" w:lineRule="exact" w:before="0" w:after="0"/>
        <w:ind w:left="1164" w:right="0" w:hanging="946"/>
        <w:jc w:val="left"/>
        <w:rPr>
          <w:sz w:val="21"/>
        </w:rPr>
      </w:pPr>
      <w:r>
        <w:rPr>
          <w:spacing w:val="-1"/>
          <w:w w:val="95"/>
          <w:sz w:val="21"/>
        </w:rPr>
        <w:t>平台开展价格促销活动，应避免将以下情形作为平台设置促销活动参与范围的前置条件：</w:t>
      </w:r>
    </w:p>
    <w:p>
      <w:pPr>
        <w:pStyle w:val="ListParagraph"/>
        <w:numPr>
          <w:ilvl w:val="4"/>
          <w:numId w:val="6"/>
        </w:numPr>
        <w:tabs>
          <w:tab w:pos="1068" w:val="left" w:leader="none"/>
        </w:tabs>
        <w:spacing w:line="240" w:lineRule="auto" w:before="42" w:after="0"/>
        <w:ind w:left="1068" w:right="0" w:hanging="425"/>
        <w:jc w:val="left"/>
        <w:rPr>
          <w:sz w:val="21"/>
        </w:rPr>
      </w:pPr>
      <w:r>
        <w:rPr>
          <w:spacing w:val="-1"/>
          <w:w w:val="95"/>
          <w:sz w:val="21"/>
        </w:rPr>
        <w:t>商户同步开展促销活动；</w:t>
      </w:r>
    </w:p>
    <w:p>
      <w:pPr>
        <w:pStyle w:val="ListParagraph"/>
        <w:numPr>
          <w:ilvl w:val="4"/>
          <w:numId w:val="6"/>
        </w:numPr>
        <w:tabs>
          <w:tab w:pos="1068" w:val="left" w:leader="none"/>
        </w:tabs>
        <w:spacing w:line="240" w:lineRule="auto" w:before="43" w:after="0"/>
        <w:ind w:left="1068" w:right="0" w:hanging="425"/>
        <w:jc w:val="left"/>
        <w:rPr>
          <w:sz w:val="21"/>
        </w:rPr>
      </w:pPr>
      <w:r>
        <w:rPr>
          <w:spacing w:val="-1"/>
          <w:w w:val="95"/>
          <w:sz w:val="21"/>
        </w:rPr>
        <w:t>购买平台流量推广等增值服务或接入平台指定工具；</w:t>
      </w:r>
    </w:p>
    <w:p>
      <w:pPr>
        <w:pStyle w:val="ListParagraph"/>
        <w:numPr>
          <w:ilvl w:val="4"/>
          <w:numId w:val="6"/>
        </w:numPr>
        <w:tabs>
          <w:tab w:pos="1068" w:val="left" w:leader="none"/>
        </w:tabs>
        <w:spacing w:line="240" w:lineRule="auto" w:before="43" w:after="0"/>
        <w:ind w:left="1068" w:right="0" w:hanging="425"/>
        <w:jc w:val="left"/>
        <w:rPr>
          <w:sz w:val="21"/>
        </w:rPr>
      </w:pPr>
      <w:r>
        <w:rPr>
          <w:spacing w:val="-1"/>
          <w:w w:val="95"/>
          <w:sz w:val="21"/>
        </w:rPr>
        <w:t>不应在其他平台开展经营或上架销售相关商品；</w:t>
      </w:r>
    </w:p>
    <w:p>
      <w:pPr>
        <w:pStyle w:val="ListParagraph"/>
        <w:numPr>
          <w:ilvl w:val="4"/>
          <w:numId w:val="6"/>
        </w:numPr>
        <w:tabs>
          <w:tab w:pos="1068" w:val="left" w:leader="none"/>
        </w:tabs>
        <w:spacing w:line="240" w:lineRule="auto" w:before="43" w:after="0"/>
        <w:ind w:left="1068" w:right="0" w:hanging="425"/>
        <w:jc w:val="left"/>
        <w:rPr>
          <w:sz w:val="21"/>
        </w:rPr>
      </w:pPr>
      <w:r>
        <w:rPr>
          <w:spacing w:val="-1"/>
          <w:w w:val="95"/>
          <w:sz w:val="21"/>
        </w:rPr>
        <w:t>参与平台其他任何活动；</w:t>
      </w:r>
    </w:p>
    <w:p>
      <w:pPr>
        <w:pStyle w:val="ListParagraph"/>
        <w:numPr>
          <w:ilvl w:val="4"/>
          <w:numId w:val="6"/>
        </w:numPr>
        <w:tabs>
          <w:tab w:pos="1068" w:val="left" w:leader="none"/>
        </w:tabs>
        <w:spacing w:line="240" w:lineRule="auto" w:before="43" w:after="0"/>
        <w:ind w:left="1068" w:right="0" w:hanging="425"/>
        <w:jc w:val="left"/>
        <w:rPr>
          <w:sz w:val="21"/>
        </w:rPr>
      </w:pPr>
      <w:r>
        <w:rPr>
          <w:spacing w:val="-1"/>
          <w:w w:val="95"/>
          <w:sz w:val="21"/>
        </w:rPr>
        <w:t>不应在其他平台开展促销活动。</w:t>
      </w:r>
    </w:p>
    <w:p>
      <w:pPr>
        <w:pStyle w:val="ListParagraph"/>
        <w:numPr>
          <w:ilvl w:val="3"/>
          <w:numId w:val="6"/>
        </w:numPr>
        <w:tabs>
          <w:tab w:pos="1164" w:val="left" w:leader="none"/>
        </w:tabs>
        <w:spacing w:line="278" w:lineRule="auto" w:before="43" w:after="0"/>
        <w:ind w:left="218" w:right="412" w:firstLine="0"/>
        <w:jc w:val="both"/>
        <w:rPr>
          <w:sz w:val="21"/>
        </w:rPr>
      </w:pPr>
      <w:r>
        <w:rPr>
          <w:spacing w:val="-1"/>
          <w:w w:val="99"/>
          <w:sz w:val="21"/>
        </w:rPr>
        <w:t>平台价格促销应确保对交易条件相同的消费者平等适用，不应基于大数据和算法，根据消费</w:t>
      </w:r>
      <w:r>
        <w:rPr>
          <w:spacing w:val="-9"/>
          <w:w w:val="99"/>
          <w:sz w:val="21"/>
        </w:rPr>
        <w:t>者的支付能力、消费偏好、使用习惯等，在促销活动过程中对消费者实行不合理的差别待遇。随机发放</w:t>
      </w:r>
      <w:r>
        <w:rPr>
          <w:spacing w:val="-1"/>
          <w:w w:val="99"/>
          <w:sz w:val="21"/>
        </w:rPr>
        <w:t>的红包、优惠券等应确保机会均等。</w:t>
      </w:r>
    </w:p>
    <w:p>
      <w:pPr>
        <w:pStyle w:val="ListParagraph"/>
        <w:numPr>
          <w:ilvl w:val="3"/>
          <w:numId w:val="6"/>
        </w:numPr>
        <w:tabs>
          <w:tab w:pos="1164" w:val="left" w:leader="none"/>
        </w:tabs>
        <w:spacing w:line="278" w:lineRule="auto" w:before="0" w:after="0"/>
        <w:ind w:left="218" w:right="308" w:firstLine="0"/>
        <w:jc w:val="both"/>
        <w:rPr>
          <w:sz w:val="21"/>
        </w:rPr>
      </w:pPr>
      <w:r>
        <w:rPr>
          <w:spacing w:val="-7"/>
          <w:w w:val="99"/>
          <w:sz w:val="21"/>
        </w:rPr>
        <w:t>平台价格促销活动应坚持合理限度原则，促销优惠后不应使得商品实际成交价格为零或为负，</w:t>
      </w:r>
      <w:r>
        <w:rPr>
          <w:spacing w:val="-1"/>
          <w:w w:val="99"/>
          <w:sz w:val="21"/>
        </w:rPr>
        <w:t>扰乱正常的市场价格秩序。</w:t>
      </w:r>
    </w:p>
    <w:p>
      <w:pPr>
        <w:pStyle w:val="ListParagraph"/>
        <w:numPr>
          <w:ilvl w:val="3"/>
          <w:numId w:val="6"/>
        </w:numPr>
        <w:tabs>
          <w:tab w:pos="1164" w:val="left" w:leader="none"/>
        </w:tabs>
        <w:spacing w:line="269" w:lineRule="exact" w:before="0" w:after="0"/>
        <w:ind w:left="1164" w:right="0" w:hanging="946"/>
        <w:jc w:val="both"/>
        <w:rPr>
          <w:sz w:val="21"/>
        </w:rPr>
      </w:pPr>
      <w:r>
        <w:rPr>
          <w:spacing w:val="-1"/>
          <w:w w:val="95"/>
          <w:sz w:val="21"/>
        </w:rPr>
        <w:t>平台不应向商户发出或变相发出不合理的价格促销要约。</w:t>
      </w:r>
    </w:p>
    <w:p>
      <w:pPr>
        <w:pStyle w:val="BodyText"/>
        <w:spacing w:before="6"/>
        <w:rPr>
          <w:sz w:val="15"/>
        </w:rPr>
      </w:pPr>
    </w:p>
    <w:p>
      <w:pPr>
        <w:pStyle w:val="ListParagraph"/>
        <w:numPr>
          <w:ilvl w:val="2"/>
          <w:numId w:val="6"/>
        </w:numPr>
        <w:tabs>
          <w:tab w:pos="953" w:val="left" w:leader="none"/>
        </w:tabs>
        <w:spacing w:line="240" w:lineRule="auto" w:before="0" w:after="0"/>
        <w:ind w:left="952" w:right="0" w:hanging="735"/>
        <w:jc w:val="left"/>
        <w:rPr>
          <w:rFonts w:ascii="黑体" w:eastAsia="黑体"/>
          <w:sz w:val="21"/>
        </w:rPr>
      </w:pPr>
      <w:bookmarkStart w:name="5.2.4　商户价格促销" w:id="29"/>
      <w:bookmarkEnd w:id="29"/>
      <w:r>
        <w:rPr>
          <w:rFonts w:ascii="黑体" w:eastAsia="黑体"/>
          <w:spacing w:val="-2"/>
          <w:w w:val="95"/>
          <w:sz w:val="21"/>
        </w:rPr>
        <w:t>商户价格促销</w:t>
      </w:r>
    </w:p>
    <w:p>
      <w:pPr>
        <w:pStyle w:val="BodyText"/>
        <w:spacing w:before="7"/>
        <w:rPr>
          <w:rFonts w:ascii="黑体"/>
          <w:sz w:val="15"/>
        </w:rPr>
      </w:pPr>
    </w:p>
    <w:p>
      <w:pPr>
        <w:pStyle w:val="ListParagraph"/>
        <w:numPr>
          <w:ilvl w:val="3"/>
          <w:numId w:val="6"/>
        </w:numPr>
        <w:tabs>
          <w:tab w:pos="1164" w:val="left" w:leader="none"/>
        </w:tabs>
        <w:spacing w:line="278" w:lineRule="auto" w:before="0" w:after="0"/>
        <w:ind w:left="218" w:right="412" w:firstLine="0"/>
        <w:jc w:val="both"/>
        <w:rPr>
          <w:sz w:val="21"/>
        </w:rPr>
      </w:pPr>
      <w:r>
        <w:rPr>
          <w:spacing w:val="-1"/>
          <w:w w:val="99"/>
          <w:sz w:val="21"/>
        </w:rPr>
        <w:t>商户价格促销活动应由商户自主选择开展，平台不应通过明示或暗示给予商户流量倾斜、承诺优先配送、同步开展平台促销等方式强制或者变相强制商户开展价格促销活动。</w:t>
      </w:r>
    </w:p>
    <w:p>
      <w:pPr>
        <w:pStyle w:val="ListParagraph"/>
        <w:numPr>
          <w:ilvl w:val="3"/>
          <w:numId w:val="6"/>
        </w:numPr>
        <w:tabs>
          <w:tab w:pos="1164" w:val="left" w:leader="none"/>
        </w:tabs>
        <w:spacing w:line="278" w:lineRule="auto" w:before="0" w:after="0"/>
        <w:ind w:left="218" w:right="412" w:firstLine="0"/>
        <w:jc w:val="both"/>
        <w:rPr>
          <w:sz w:val="21"/>
        </w:rPr>
      </w:pPr>
      <w:r>
        <w:rPr>
          <w:spacing w:val="-1"/>
          <w:w w:val="99"/>
          <w:sz w:val="21"/>
        </w:rPr>
        <w:t>平台不应通过明示或暗示给予商户流量倾斜、承诺优先配送、同步开展平台促销等方式强制</w:t>
      </w:r>
      <w:r>
        <w:rPr>
          <w:spacing w:val="-4"/>
          <w:w w:val="99"/>
          <w:sz w:val="21"/>
        </w:rPr>
        <w:t>或者变相强制商户按照其制定的促销规则开展价格促销活动，使得商品实际成交价格低于商品成本，扰</w:t>
      </w:r>
      <w:r>
        <w:rPr>
          <w:spacing w:val="-1"/>
          <w:w w:val="99"/>
          <w:sz w:val="21"/>
        </w:rPr>
        <w:t>乱市场竞争秩序。</w:t>
      </w:r>
    </w:p>
    <w:p>
      <w:pPr>
        <w:pStyle w:val="ListParagraph"/>
        <w:numPr>
          <w:ilvl w:val="3"/>
          <w:numId w:val="6"/>
        </w:numPr>
        <w:tabs>
          <w:tab w:pos="1164" w:val="left" w:leader="none"/>
        </w:tabs>
        <w:spacing w:line="278" w:lineRule="auto" w:before="0" w:after="0"/>
        <w:ind w:left="218" w:right="412" w:firstLine="0"/>
        <w:jc w:val="both"/>
        <w:rPr>
          <w:sz w:val="21"/>
        </w:rPr>
      </w:pPr>
      <w:r>
        <w:rPr>
          <w:spacing w:val="-1"/>
          <w:w w:val="99"/>
          <w:sz w:val="21"/>
        </w:rPr>
        <w:t>平台不应强制或者变相强制商户签署“最低价格”协议，或以其他任何方式干预或变相干预商户促销价格的设定和调整。</w:t>
      </w:r>
    </w:p>
    <w:p>
      <w:pPr>
        <w:pStyle w:val="ListParagraph"/>
        <w:numPr>
          <w:ilvl w:val="3"/>
          <w:numId w:val="6"/>
        </w:numPr>
        <w:tabs>
          <w:tab w:pos="1164" w:val="left" w:leader="none"/>
        </w:tabs>
        <w:spacing w:line="278" w:lineRule="auto" w:before="0" w:after="0"/>
        <w:ind w:left="218" w:right="308" w:firstLine="0"/>
        <w:jc w:val="left"/>
        <w:rPr>
          <w:sz w:val="21"/>
        </w:rPr>
      </w:pPr>
      <w:r>
        <w:rPr>
          <w:spacing w:val="-5"/>
          <w:w w:val="99"/>
          <w:sz w:val="21"/>
        </w:rPr>
        <w:t>平台应为商户开展价格促销活动提供必要的技术服务和运营支持，帮助商户提升在餐品管理、</w:t>
      </w:r>
      <w:r>
        <w:rPr>
          <w:spacing w:val="-1"/>
          <w:w w:val="99"/>
          <w:sz w:val="21"/>
        </w:rPr>
        <w:t>店铺运营、订单处理、数据分析等方面的数字化运营能力。</w:t>
      </w:r>
    </w:p>
    <w:p>
      <w:pPr>
        <w:pStyle w:val="ListParagraph"/>
        <w:numPr>
          <w:ilvl w:val="3"/>
          <w:numId w:val="6"/>
        </w:numPr>
        <w:tabs>
          <w:tab w:pos="1164" w:val="left" w:leader="none"/>
        </w:tabs>
        <w:spacing w:line="278" w:lineRule="auto" w:before="0" w:after="0"/>
        <w:ind w:left="218" w:right="412" w:firstLine="0"/>
        <w:jc w:val="left"/>
        <w:rPr>
          <w:sz w:val="21"/>
        </w:rPr>
      </w:pPr>
      <w:r>
        <w:rPr>
          <w:spacing w:val="-1"/>
          <w:w w:val="99"/>
          <w:sz w:val="21"/>
        </w:rPr>
        <w:t>平台应建立商户价格促销活动监测与预警机制，在商品价格、订单价格等商户经营状况异常时，及时进行提示，引导商户理性促销，避免出现扰乱市场正常秩序的情况。</w:t>
      </w:r>
    </w:p>
    <w:p>
      <w:pPr>
        <w:pStyle w:val="ListParagraph"/>
        <w:numPr>
          <w:ilvl w:val="2"/>
          <w:numId w:val="6"/>
        </w:numPr>
        <w:tabs>
          <w:tab w:pos="953" w:val="left" w:leader="none"/>
        </w:tabs>
        <w:spacing w:line="240" w:lineRule="auto" w:before="155" w:after="0"/>
        <w:ind w:left="952" w:right="0" w:hanging="735"/>
        <w:jc w:val="left"/>
        <w:rPr>
          <w:rFonts w:ascii="黑体" w:eastAsia="黑体"/>
          <w:sz w:val="21"/>
        </w:rPr>
      </w:pPr>
      <w:bookmarkStart w:name="5.2.5　促销信息展示" w:id="30"/>
      <w:bookmarkEnd w:id="30"/>
      <w:r>
        <w:rPr>
          <w:rFonts w:ascii="黑体" w:eastAsia="黑体"/>
          <w:spacing w:val="-2"/>
          <w:w w:val="95"/>
          <w:sz w:val="21"/>
        </w:rPr>
        <w:t>促销信息展示</w:t>
      </w:r>
    </w:p>
    <w:p>
      <w:pPr>
        <w:spacing w:after="0" w:line="240" w:lineRule="auto"/>
        <w:jc w:val="left"/>
        <w:rPr>
          <w:rFonts w:ascii="黑体" w:eastAsia="黑体"/>
          <w:sz w:val="21"/>
        </w:rPr>
        <w:sectPr>
          <w:pgSz w:w="11910" w:h="16840"/>
          <w:pgMar w:header="1449" w:footer="1141" w:top="1640" w:bottom="1340" w:left="1200" w:right="720"/>
        </w:sectPr>
      </w:pPr>
    </w:p>
    <w:p>
      <w:pPr>
        <w:pStyle w:val="BodyText"/>
        <w:spacing w:before="3"/>
        <w:rPr>
          <w:rFonts w:ascii="黑体"/>
          <w:sz w:val="17"/>
        </w:rPr>
      </w:pPr>
    </w:p>
    <w:p>
      <w:pPr>
        <w:pStyle w:val="ListParagraph"/>
        <w:numPr>
          <w:ilvl w:val="3"/>
          <w:numId w:val="6"/>
        </w:numPr>
        <w:tabs>
          <w:tab w:pos="1164" w:val="left" w:leader="none"/>
        </w:tabs>
        <w:spacing w:line="278" w:lineRule="auto" w:before="70" w:after="0"/>
        <w:ind w:left="218" w:right="308" w:firstLine="0"/>
        <w:jc w:val="left"/>
        <w:rPr>
          <w:sz w:val="21"/>
        </w:rPr>
      </w:pPr>
      <w:r>
        <w:rPr>
          <w:spacing w:val="-6"/>
          <w:w w:val="99"/>
          <w:sz w:val="21"/>
        </w:rPr>
        <w:t>平台设置促销活动专区或独立展示页面，以竞价排名、付费置顶等方式推销商品或者服务的，</w:t>
      </w:r>
      <w:r>
        <w:rPr>
          <w:spacing w:val="-1"/>
          <w:w w:val="99"/>
          <w:sz w:val="21"/>
        </w:rPr>
        <w:t>应依法显著标明“广告”。</w:t>
      </w:r>
    </w:p>
    <w:p>
      <w:pPr>
        <w:pStyle w:val="ListParagraph"/>
        <w:numPr>
          <w:ilvl w:val="3"/>
          <w:numId w:val="6"/>
        </w:numPr>
        <w:tabs>
          <w:tab w:pos="1164" w:val="left" w:leader="none"/>
        </w:tabs>
        <w:spacing w:line="269" w:lineRule="exact" w:before="0" w:after="0"/>
        <w:ind w:left="1164" w:right="0" w:hanging="946"/>
        <w:jc w:val="left"/>
        <w:rPr>
          <w:sz w:val="21"/>
        </w:rPr>
      </w:pPr>
      <w:r>
        <w:rPr>
          <w:spacing w:val="-1"/>
          <w:w w:val="95"/>
          <w:sz w:val="21"/>
        </w:rPr>
        <w:t>平台不应对参与价格促销活动的商户在自然搜索排序结果上进行任何优待。</w:t>
      </w:r>
    </w:p>
    <w:p>
      <w:pPr>
        <w:pStyle w:val="ListParagraph"/>
        <w:numPr>
          <w:ilvl w:val="3"/>
          <w:numId w:val="6"/>
        </w:numPr>
        <w:tabs>
          <w:tab w:pos="1164" w:val="left" w:leader="none"/>
        </w:tabs>
        <w:spacing w:line="278" w:lineRule="auto" w:before="43" w:after="0"/>
        <w:ind w:left="218" w:right="415" w:firstLine="0"/>
        <w:jc w:val="left"/>
        <w:rPr>
          <w:sz w:val="21"/>
        </w:rPr>
      </w:pPr>
      <w:r>
        <w:rPr>
          <w:spacing w:val="-1"/>
          <w:w w:val="99"/>
          <w:sz w:val="21"/>
        </w:rPr>
        <w:t>平台应确保促销价格等促销信息展示真实、适度、合规、可控，不应采用隐藏部分费用、夸张标签、过度重复推送等手段，诱导用户消费或使消费者产生误解。</w:t>
      </w:r>
    </w:p>
    <w:p>
      <w:pPr>
        <w:pStyle w:val="ListParagraph"/>
        <w:numPr>
          <w:ilvl w:val="3"/>
          <w:numId w:val="6"/>
        </w:numPr>
        <w:tabs>
          <w:tab w:pos="1164" w:val="left" w:leader="none"/>
        </w:tabs>
        <w:spacing w:line="269" w:lineRule="exact" w:before="0" w:after="0"/>
        <w:ind w:left="1164" w:right="0" w:hanging="946"/>
        <w:jc w:val="left"/>
        <w:rPr>
          <w:sz w:val="21"/>
        </w:rPr>
      </w:pPr>
      <w:r>
        <w:rPr>
          <w:spacing w:val="-1"/>
          <w:w w:val="95"/>
          <w:sz w:val="21"/>
        </w:rPr>
        <w:t>平台在展示价格促销优惠金额时，应明确区分平台促销与商户促销。</w:t>
      </w:r>
    </w:p>
    <w:p>
      <w:pPr>
        <w:pStyle w:val="BodyText"/>
        <w:spacing w:before="6"/>
        <w:rPr>
          <w:sz w:val="15"/>
        </w:rPr>
      </w:pPr>
    </w:p>
    <w:p>
      <w:pPr>
        <w:pStyle w:val="ListParagraph"/>
        <w:numPr>
          <w:ilvl w:val="2"/>
          <w:numId w:val="6"/>
        </w:numPr>
        <w:tabs>
          <w:tab w:pos="953" w:val="left" w:leader="none"/>
        </w:tabs>
        <w:spacing w:line="240" w:lineRule="auto" w:before="1" w:after="0"/>
        <w:ind w:left="952" w:right="0" w:hanging="735"/>
        <w:jc w:val="left"/>
        <w:rPr>
          <w:rFonts w:ascii="黑体" w:eastAsia="黑体"/>
          <w:sz w:val="21"/>
        </w:rPr>
      </w:pPr>
      <w:bookmarkStart w:name="5.2.6　促销活动宣传" w:id="31"/>
      <w:bookmarkEnd w:id="31"/>
      <w:r>
        <w:rPr>
          <w:rFonts w:ascii="黑体" w:eastAsia="黑体"/>
          <w:spacing w:val="-2"/>
          <w:w w:val="95"/>
          <w:sz w:val="21"/>
        </w:rPr>
        <w:t>促销活动宣传</w:t>
      </w:r>
    </w:p>
    <w:p>
      <w:pPr>
        <w:pStyle w:val="BodyText"/>
        <w:spacing w:before="6"/>
        <w:rPr>
          <w:rFonts w:ascii="黑体"/>
          <w:sz w:val="15"/>
        </w:rPr>
      </w:pPr>
    </w:p>
    <w:p>
      <w:pPr>
        <w:pStyle w:val="ListParagraph"/>
        <w:numPr>
          <w:ilvl w:val="3"/>
          <w:numId w:val="6"/>
        </w:numPr>
        <w:tabs>
          <w:tab w:pos="1164" w:val="left" w:leader="none"/>
        </w:tabs>
        <w:spacing w:line="278" w:lineRule="auto" w:before="0" w:after="0"/>
        <w:ind w:left="218" w:right="412" w:firstLine="0"/>
        <w:jc w:val="left"/>
        <w:rPr>
          <w:sz w:val="21"/>
        </w:rPr>
      </w:pPr>
      <w:r>
        <w:rPr>
          <w:spacing w:val="-1"/>
          <w:w w:val="99"/>
          <w:sz w:val="21"/>
        </w:rPr>
        <w:t>平台在宣传价格促销活动规模时，应真实、准确反映平台自身出资情况，不应将商户开展的减价、折价等促销活动计入平台价格促销范围。</w:t>
      </w:r>
    </w:p>
    <w:p>
      <w:pPr>
        <w:pStyle w:val="ListParagraph"/>
        <w:numPr>
          <w:ilvl w:val="3"/>
          <w:numId w:val="6"/>
        </w:numPr>
        <w:tabs>
          <w:tab w:pos="1164" w:val="left" w:leader="none"/>
        </w:tabs>
        <w:spacing w:line="278" w:lineRule="auto" w:before="0" w:after="0"/>
        <w:ind w:left="218" w:right="415" w:firstLine="0"/>
        <w:jc w:val="left"/>
        <w:rPr>
          <w:sz w:val="21"/>
        </w:rPr>
      </w:pPr>
      <w:r>
        <w:rPr>
          <w:spacing w:val="-2"/>
          <w:w w:val="99"/>
          <w:sz w:val="21"/>
        </w:rPr>
        <w:t>平台在宣传价格促销活动时，不应使用“零元购”“整单免费”“全额减免”等词语，扰乱</w:t>
      </w:r>
      <w:r>
        <w:rPr>
          <w:spacing w:val="-1"/>
          <w:w w:val="99"/>
          <w:sz w:val="21"/>
        </w:rPr>
        <w:t>市场价格认知与正常秩序。</w:t>
      </w:r>
    </w:p>
    <w:p>
      <w:pPr>
        <w:pStyle w:val="BodyText"/>
        <w:spacing w:before="4"/>
        <w:rPr>
          <w:sz w:val="24"/>
        </w:rPr>
      </w:pPr>
    </w:p>
    <w:p>
      <w:pPr>
        <w:pStyle w:val="ListParagraph"/>
        <w:numPr>
          <w:ilvl w:val="0"/>
          <w:numId w:val="2"/>
        </w:numPr>
        <w:tabs>
          <w:tab w:pos="533" w:val="left" w:leader="none"/>
        </w:tabs>
        <w:spacing w:line="240" w:lineRule="auto" w:before="0" w:after="0"/>
        <w:ind w:left="532" w:right="0" w:hanging="315"/>
        <w:jc w:val="left"/>
        <w:rPr>
          <w:rFonts w:ascii="黑体" w:eastAsia="黑体"/>
          <w:sz w:val="21"/>
        </w:rPr>
      </w:pPr>
      <w:bookmarkStart w:name="6　商户管理" w:id="32"/>
      <w:bookmarkEnd w:id="32"/>
      <w:r>
        <w:rPr/>
      </w:r>
      <w:bookmarkStart w:name="_bookmark8" w:id="33"/>
      <w:bookmarkEnd w:id="33"/>
      <w:r>
        <w:rPr>
          <w:rFonts w:ascii="黑体" w:eastAsia="黑体"/>
          <w:spacing w:val="-3"/>
          <w:w w:val="95"/>
          <w:sz w:val="21"/>
        </w:rPr>
        <w:t>商户管理</w:t>
      </w:r>
    </w:p>
    <w:p>
      <w:pPr>
        <w:pStyle w:val="BodyText"/>
        <w:spacing w:before="9"/>
        <w:rPr>
          <w:rFonts w:ascii="黑体"/>
          <w:sz w:val="27"/>
        </w:rPr>
      </w:pPr>
    </w:p>
    <w:p>
      <w:pPr>
        <w:pStyle w:val="ListParagraph"/>
        <w:numPr>
          <w:ilvl w:val="1"/>
          <w:numId w:val="2"/>
        </w:numPr>
        <w:tabs>
          <w:tab w:pos="744" w:val="left" w:leader="none"/>
        </w:tabs>
        <w:spacing w:line="240" w:lineRule="auto" w:before="0" w:after="0"/>
        <w:ind w:left="744" w:right="0" w:hanging="526"/>
        <w:jc w:val="left"/>
        <w:rPr>
          <w:rFonts w:ascii="黑体" w:eastAsia="黑体"/>
          <w:sz w:val="21"/>
        </w:rPr>
      </w:pPr>
      <w:bookmarkStart w:name="6.1　总则" w:id="34"/>
      <w:bookmarkEnd w:id="34"/>
      <w:r>
        <w:rPr/>
      </w:r>
      <w:bookmarkStart w:name="_bookmark9" w:id="35"/>
      <w:bookmarkEnd w:id="35"/>
      <w:r>
        <w:rPr>
          <w:rFonts w:ascii="黑体" w:eastAsia="黑体"/>
          <w:w w:val="95"/>
          <w:sz w:val="21"/>
        </w:rPr>
        <w:t>总</w:t>
      </w:r>
      <w:r>
        <w:rPr>
          <w:rFonts w:ascii="黑体" w:eastAsia="黑体"/>
          <w:spacing w:val="-10"/>
          <w:sz w:val="21"/>
        </w:rPr>
        <w:t>则</w:t>
      </w:r>
    </w:p>
    <w:p>
      <w:pPr>
        <w:pStyle w:val="BodyText"/>
        <w:spacing w:before="7"/>
        <w:rPr>
          <w:rFonts w:ascii="黑体"/>
          <w:sz w:val="15"/>
        </w:rPr>
      </w:pPr>
    </w:p>
    <w:p>
      <w:pPr>
        <w:pStyle w:val="ListParagraph"/>
        <w:numPr>
          <w:ilvl w:val="2"/>
          <w:numId w:val="2"/>
        </w:numPr>
        <w:tabs>
          <w:tab w:pos="953" w:val="left" w:leader="none"/>
        </w:tabs>
        <w:spacing w:line="278" w:lineRule="auto" w:before="0" w:after="0"/>
        <w:ind w:left="218" w:right="412" w:firstLine="0"/>
        <w:jc w:val="both"/>
        <w:rPr>
          <w:sz w:val="21"/>
        </w:rPr>
      </w:pPr>
      <w:bookmarkStart w:name="6.1.1　平台应建立健全对商户的服务与管理制度，明确管理责任部门与人员，对平台" w:id="36"/>
      <w:bookmarkEnd w:id="36"/>
      <w:r>
        <w:rPr>
          <w:spacing w:val="-1"/>
          <w:w w:val="99"/>
          <w:sz w:val="21"/>
        </w:rPr>
        <w:t>平台应建立健全对商户的服务与管理制度，明确管理责任部门与人员，对平台内商户的经营行</w:t>
      </w:r>
      <w:r>
        <w:rPr>
          <w:spacing w:val="-1"/>
          <w:w w:val="99"/>
          <w:sz w:val="21"/>
        </w:rPr>
        <w:t>为承担管理责任。</w:t>
      </w:r>
    </w:p>
    <w:p>
      <w:pPr>
        <w:pStyle w:val="ListParagraph"/>
        <w:numPr>
          <w:ilvl w:val="2"/>
          <w:numId w:val="2"/>
        </w:numPr>
        <w:tabs>
          <w:tab w:pos="953" w:val="left" w:leader="none"/>
        </w:tabs>
        <w:spacing w:line="278" w:lineRule="auto" w:before="0" w:after="0"/>
        <w:ind w:left="218" w:right="412" w:firstLine="0"/>
        <w:jc w:val="both"/>
        <w:rPr>
          <w:sz w:val="21"/>
        </w:rPr>
      </w:pPr>
      <w:bookmarkStart w:name="6.1.2　平台应设置独立的食品安全管理机构，依法配备与经营规模、经营模式、风险" w:id="37"/>
      <w:bookmarkEnd w:id="37"/>
      <w:r>
        <w:rPr>
          <w:spacing w:val="-1"/>
          <w:w w:val="99"/>
          <w:sz w:val="21"/>
        </w:rPr>
        <w:t>平台应设置独立的食品安全管理机构，依法配备与经营规模、经营模式、风险等级、安全状况</w:t>
      </w:r>
      <w:r>
        <w:rPr>
          <w:spacing w:val="-5"/>
          <w:w w:val="99"/>
          <w:sz w:val="21"/>
        </w:rPr>
        <w:t>等相适应的食品安全总监和食品安全员等食品安全管理人，承担平台内食品安全相关管理责任，并建立</w:t>
      </w:r>
      <w:r>
        <w:rPr>
          <w:spacing w:val="-1"/>
          <w:w w:val="99"/>
          <w:sz w:val="21"/>
        </w:rPr>
        <w:t>食品安全日管控、周排查、月调度制度。</w:t>
      </w:r>
    </w:p>
    <w:p>
      <w:pPr>
        <w:pStyle w:val="ListParagraph"/>
        <w:numPr>
          <w:ilvl w:val="2"/>
          <w:numId w:val="2"/>
        </w:numPr>
        <w:tabs>
          <w:tab w:pos="953" w:val="left" w:leader="none"/>
        </w:tabs>
        <w:spacing w:line="278" w:lineRule="auto" w:before="0" w:after="0"/>
        <w:ind w:left="218" w:right="412" w:firstLine="0"/>
        <w:jc w:val="both"/>
        <w:rPr>
          <w:sz w:val="21"/>
        </w:rPr>
      </w:pPr>
      <w:bookmarkStart w:name="6.1.3　平台对商户入驻和经营的审核、管控、处罚制度应公开透明；对商户进行分类" w:id="38"/>
      <w:bookmarkEnd w:id="38"/>
      <w:r>
        <w:rPr>
          <w:spacing w:val="-1"/>
          <w:w w:val="99"/>
          <w:sz w:val="21"/>
        </w:rPr>
        <w:t>平台对商户入驻和经营的审核、管控、处罚制度应公开透明；对商户进行分类管理的，应提供</w:t>
      </w:r>
      <w:r>
        <w:rPr>
          <w:spacing w:val="-8"/>
          <w:w w:val="99"/>
          <w:sz w:val="21"/>
        </w:rPr>
        <w:t>明确、合理依据。相关制度发生修改的，应当完整保存修改后的版本生效前</w:t>
      </w:r>
      <w:r>
        <w:rPr>
          <w:spacing w:val="-53"/>
          <w:sz w:val="21"/>
        </w:rPr>
        <w:t> </w:t>
      </w:r>
      <w:r>
        <w:rPr>
          <w:w w:val="99"/>
          <w:sz w:val="21"/>
        </w:rPr>
        <w:t>3</w:t>
      </w:r>
      <w:r>
        <w:rPr>
          <w:spacing w:val="-52"/>
          <w:sz w:val="21"/>
        </w:rPr>
        <w:t> </w:t>
      </w:r>
      <w:r>
        <w:rPr>
          <w:spacing w:val="-4"/>
          <w:w w:val="99"/>
          <w:sz w:val="21"/>
        </w:rPr>
        <w:t>年内的所有历史版本，并</w:t>
      </w:r>
      <w:r>
        <w:rPr>
          <w:spacing w:val="-1"/>
          <w:w w:val="99"/>
          <w:sz w:val="21"/>
        </w:rPr>
        <w:t>保证有关各方能够便利、完整地阅览和下载。</w:t>
      </w:r>
    </w:p>
    <w:p>
      <w:pPr>
        <w:pStyle w:val="ListParagraph"/>
        <w:numPr>
          <w:ilvl w:val="2"/>
          <w:numId w:val="2"/>
        </w:numPr>
        <w:tabs>
          <w:tab w:pos="953" w:val="left" w:leader="none"/>
        </w:tabs>
        <w:spacing w:line="269" w:lineRule="exact" w:before="0" w:after="0"/>
        <w:ind w:left="952" w:right="0" w:hanging="735"/>
        <w:jc w:val="both"/>
        <w:rPr>
          <w:sz w:val="21"/>
        </w:rPr>
      </w:pPr>
      <w:bookmarkStart w:name="6.1.4　平台应与商户签订协议，明确双方的食品安全责任，平台不得通过协议转嫁食" w:id="39"/>
      <w:bookmarkEnd w:id="39"/>
      <w:r>
        <w:rPr>
          <w:spacing w:val="-1"/>
          <w:w w:val="95"/>
          <w:sz w:val="21"/>
        </w:rPr>
        <w:t>平台应与商户签订协议，明确双方的食品安全责任，平台不得通过协议转嫁食品安全责任。</w:t>
      </w:r>
    </w:p>
    <w:p>
      <w:pPr>
        <w:pStyle w:val="ListParagraph"/>
        <w:numPr>
          <w:ilvl w:val="2"/>
          <w:numId w:val="2"/>
        </w:numPr>
        <w:tabs>
          <w:tab w:pos="953" w:val="left" w:leader="none"/>
        </w:tabs>
        <w:spacing w:line="240" w:lineRule="auto" w:before="43" w:after="0"/>
        <w:ind w:left="952" w:right="0" w:hanging="735"/>
        <w:jc w:val="left"/>
        <w:rPr>
          <w:sz w:val="21"/>
        </w:rPr>
      </w:pPr>
      <w:bookmarkStart w:name="6.1.5　平台应建立商户风险识别、防控机制及应急预案，对高风险商户采取重点管理" w:id="40"/>
      <w:bookmarkEnd w:id="40"/>
      <w:r>
        <w:rPr>
          <w:spacing w:val="-1"/>
          <w:w w:val="95"/>
          <w:sz w:val="21"/>
        </w:rPr>
        <w:t>平台应建立商户风险识别、防控机制及应急预案，对高风险商户采取重点管理和应急处置措施。</w:t>
      </w:r>
    </w:p>
    <w:p>
      <w:pPr>
        <w:pStyle w:val="ListParagraph"/>
        <w:numPr>
          <w:ilvl w:val="2"/>
          <w:numId w:val="2"/>
        </w:numPr>
        <w:tabs>
          <w:tab w:pos="953" w:val="left" w:leader="none"/>
        </w:tabs>
        <w:spacing w:line="278" w:lineRule="auto" w:before="42" w:after="0"/>
        <w:ind w:left="218" w:right="412" w:firstLine="0"/>
        <w:jc w:val="left"/>
        <w:rPr>
          <w:sz w:val="21"/>
        </w:rPr>
      </w:pPr>
      <w:bookmarkStart w:name="6.1.6　平台应定期评估商户管理规则和流程的有效性，并根据法律法规变化、行业发" w:id="41"/>
      <w:bookmarkEnd w:id="41"/>
      <w:r>
        <w:rPr>
          <w:spacing w:val="-1"/>
          <w:w w:val="99"/>
          <w:sz w:val="21"/>
        </w:rPr>
        <w:t>平台应定期评估商户管理规则和流程的有效性，并根据法律法规变化、行业发展和技术进步进</w:t>
      </w:r>
      <w:r>
        <w:rPr>
          <w:spacing w:val="-1"/>
          <w:w w:val="99"/>
          <w:sz w:val="21"/>
        </w:rPr>
        <w:t>行持续改进。</w:t>
      </w:r>
    </w:p>
    <w:p>
      <w:pPr>
        <w:pStyle w:val="ListParagraph"/>
        <w:numPr>
          <w:ilvl w:val="2"/>
          <w:numId w:val="2"/>
        </w:numPr>
        <w:tabs>
          <w:tab w:pos="953" w:val="left" w:leader="none"/>
        </w:tabs>
        <w:spacing w:line="278" w:lineRule="auto" w:before="0" w:after="0"/>
        <w:ind w:left="218" w:right="308" w:firstLine="0"/>
        <w:jc w:val="left"/>
        <w:rPr>
          <w:sz w:val="21"/>
        </w:rPr>
      </w:pPr>
      <w:bookmarkStart w:name="6.1.7　在实施可能对商户权益产生重大影响的规则变更前，应以清晰、显著、易于理" w:id="42"/>
      <w:bookmarkEnd w:id="42"/>
      <w:r>
        <w:rPr>
          <w:spacing w:val="-1"/>
          <w:w w:val="99"/>
          <w:sz w:val="21"/>
        </w:rPr>
        <w:t>在实施可能对商户权益产生重大影响的规则变更前，应以清晰、显著、易于理解的方式，通过</w:t>
      </w:r>
      <w:r>
        <w:rPr>
          <w:spacing w:val="4"/>
          <w:w w:val="99"/>
          <w:sz w:val="21"/>
        </w:rPr>
        <w:t>商户常用且可确认接收的渠道</w:t>
      </w:r>
      <w:r>
        <w:rPr>
          <w:spacing w:val="7"/>
          <w:w w:val="99"/>
          <w:sz w:val="21"/>
        </w:rPr>
        <w:t>（</w:t>
      </w:r>
      <w:r>
        <w:rPr>
          <w:spacing w:val="4"/>
          <w:w w:val="99"/>
          <w:sz w:val="21"/>
        </w:rPr>
        <w:t>如平台内弹窗、站内信、商户后台显著位置提示等）</w:t>
      </w:r>
      <w:r>
        <w:rPr>
          <w:spacing w:val="3"/>
          <w:w w:val="99"/>
          <w:sz w:val="21"/>
        </w:rPr>
        <w:t>，提前不少于</w:t>
      </w:r>
      <w:r>
        <w:rPr>
          <w:spacing w:val="-50"/>
          <w:sz w:val="21"/>
        </w:rPr>
        <w:t> </w:t>
      </w:r>
      <w:r>
        <w:rPr>
          <w:w w:val="99"/>
          <w:sz w:val="21"/>
        </w:rPr>
        <w:t>7</w:t>
      </w:r>
      <w:r>
        <w:rPr>
          <w:spacing w:val="-16"/>
          <w:w w:val="99"/>
          <w:sz w:val="21"/>
        </w:rPr>
        <w:t>日通知商户。若该变更属于格式调整、错别字更正或为遵守法律法规等强制性规定而需立即执行等情形，</w:t>
      </w:r>
      <w:r>
        <w:rPr>
          <w:spacing w:val="-1"/>
          <w:w w:val="99"/>
          <w:sz w:val="21"/>
        </w:rPr>
        <w:t>则不受提前</w:t>
      </w:r>
      <w:r>
        <w:rPr>
          <w:spacing w:val="-53"/>
          <w:sz w:val="21"/>
        </w:rPr>
        <w:t> </w:t>
      </w:r>
      <w:r>
        <w:rPr>
          <w:w w:val="99"/>
          <w:sz w:val="21"/>
        </w:rPr>
        <w:t>7</w:t>
      </w:r>
      <w:r>
        <w:rPr>
          <w:spacing w:val="-52"/>
          <w:sz w:val="21"/>
        </w:rPr>
        <w:t> </w:t>
      </w:r>
      <w:r>
        <w:rPr>
          <w:spacing w:val="-1"/>
          <w:w w:val="99"/>
          <w:sz w:val="21"/>
        </w:rPr>
        <w:t>日通知要求限制。</w:t>
      </w:r>
    </w:p>
    <w:p>
      <w:pPr>
        <w:pStyle w:val="ListParagraph"/>
        <w:numPr>
          <w:ilvl w:val="1"/>
          <w:numId w:val="2"/>
        </w:numPr>
        <w:tabs>
          <w:tab w:pos="744" w:val="left" w:leader="none"/>
        </w:tabs>
        <w:spacing w:line="240" w:lineRule="auto" w:before="156" w:after="0"/>
        <w:ind w:left="744" w:right="0" w:hanging="526"/>
        <w:jc w:val="left"/>
        <w:rPr>
          <w:rFonts w:ascii="黑体" w:eastAsia="黑体"/>
          <w:sz w:val="21"/>
        </w:rPr>
      </w:pPr>
      <w:bookmarkStart w:name="6.2　入驻条件" w:id="43"/>
      <w:bookmarkEnd w:id="43"/>
      <w:r>
        <w:rPr/>
      </w:r>
      <w:bookmarkStart w:name="_bookmark10" w:id="44"/>
      <w:bookmarkEnd w:id="44"/>
      <w:r>
        <w:rPr>
          <w:rFonts w:ascii="黑体" w:eastAsia="黑体"/>
          <w:spacing w:val="-3"/>
          <w:w w:val="95"/>
          <w:sz w:val="21"/>
        </w:rPr>
        <w:t>入驻条件</w:t>
      </w:r>
    </w:p>
    <w:p>
      <w:pPr>
        <w:pStyle w:val="BodyText"/>
        <w:spacing w:before="6"/>
        <w:rPr>
          <w:rFonts w:ascii="黑体"/>
          <w:sz w:val="15"/>
        </w:rPr>
      </w:pPr>
    </w:p>
    <w:p>
      <w:pPr>
        <w:pStyle w:val="ListParagraph"/>
        <w:numPr>
          <w:ilvl w:val="2"/>
          <w:numId w:val="2"/>
        </w:numPr>
        <w:tabs>
          <w:tab w:pos="953" w:val="left" w:leader="none"/>
        </w:tabs>
        <w:spacing w:line="240" w:lineRule="auto" w:before="1" w:after="0"/>
        <w:ind w:left="952" w:right="0" w:hanging="735"/>
        <w:jc w:val="left"/>
        <w:rPr>
          <w:rFonts w:ascii="黑体" w:eastAsia="黑体"/>
          <w:sz w:val="21"/>
        </w:rPr>
      </w:pPr>
      <w:bookmarkStart w:name="6.2.1　资质要求" w:id="45"/>
      <w:bookmarkEnd w:id="45"/>
      <w:r>
        <w:rPr>
          <w:rFonts w:ascii="黑体" w:eastAsia="黑体"/>
          <w:spacing w:val="-3"/>
          <w:w w:val="95"/>
          <w:sz w:val="21"/>
        </w:rPr>
        <w:t>资质要求</w:t>
      </w:r>
    </w:p>
    <w:p>
      <w:pPr>
        <w:pStyle w:val="BodyText"/>
        <w:spacing w:before="6"/>
        <w:rPr>
          <w:rFonts w:ascii="黑体"/>
          <w:sz w:val="15"/>
        </w:rPr>
      </w:pPr>
    </w:p>
    <w:p>
      <w:pPr>
        <w:pStyle w:val="BodyText"/>
        <w:spacing w:line="278" w:lineRule="auto"/>
        <w:ind w:left="218" w:right="316" w:firstLine="420"/>
      </w:pPr>
      <w:r>
        <w:rPr>
          <w:spacing w:val="-1"/>
          <w:w w:val="99"/>
        </w:rPr>
        <w:t>商户应当具有实体经营门店，并向平台提供符合国家、地方法律法规和监管要求的有效资质证件，包括但不限于营业执照、食品经营许可证等，以供平台审核。</w:t>
      </w:r>
    </w:p>
    <w:p>
      <w:pPr>
        <w:pStyle w:val="ListParagraph"/>
        <w:numPr>
          <w:ilvl w:val="2"/>
          <w:numId w:val="2"/>
        </w:numPr>
        <w:tabs>
          <w:tab w:pos="953" w:val="left" w:leader="none"/>
        </w:tabs>
        <w:spacing w:line="240" w:lineRule="auto" w:before="156" w:after="0"/>
        <w:ind w:left="952" w:right="0" w:hanging="735"/>
        <w:jc w:val="left"/>
        <w:rPr>
          <w:rFonts w:ascii="黑体" w:eastAsia="黑体"/>
          <w:sz w:val="21"/>
        </w:rPr>
      </w:pPr>
      <w:bookmarkStart w:name="6.2.2　场所要求" w:id="46"/>
      <w:bookmarkEnd w:id="46"/>
      <w:r>
        <w:rPr>
          <w:rFonts w:ascii="黑体" w:eastAsia="黑体"/>
          <w:spacing w:val="-3"/>
          <w:w w:val="95"/>
          <w:sz w:val="21"/>
        </w:rPr>
        <w:t>场所要求</w:t>
      </w:r>
    </w:p>
    <w:p>
      <w:pPr>
        <w:pStyle w:val="BodyText"/>
        <w:spacing w:before="7"/>
        <w:rPr>
          <w:rFonts w:ascii="黑体"/>
          <w:sz w:val="15"/>
        </w:rPr>
      </w:pPr>
    </w:p>
    <w:p>
      <w:pPr>
        <w:pStyle w:val="ListParagraph"/>
        <w:numPr>
          <w:ilvl w:val="3"/>
          <w:numId w:val="7"/>
        </w:numPr>
        <w:tabs>
          <w:tab w:pos="1164" w:val="left" w:leader="none"/>
        </w:tabs>
        <w:spacing w:line="240" w:lineRule="auto" w:before="0" w:after="0"/>
        <w:ind w:left="1164" w:right="0" w:hanging="946"/>
        <w:jc w:val="left"/>
        <w:rPr>
          <w:sz w:val="21"/>
        </w:rPr>
      </w:pPr>
      <w:r>
        <w:rPr>
          <w:w w:val="95"/>
          <w:sz w:val="21"/>
        </w:rPr>
        <w:t>商户应提供门店门脸信息以供平台审核；具体要求见附录</w:t>
      </w:r>
      <w:r>
        <w:rPr>
          <w:spacing w:val="33"/>
          <w:sz w:val="21"/>
        </w:rPr>
        <w:t>  </w:t>
      </w:r>
      <w:r>
        <w:rPr>
          <w:w w:val="95"/>
          <w:sz w:val="21"/>
        </w:rPr>
        <w:t>B</w:t>
      </w:r>
      <w:r>
        <w:rPr>
          <w:spacing w:val="-10"/>
          <w:w w:val="95"/>
          <w:sz w:val="21"/>
        </w:rPr>
        <w:t>。</w:t>
      </w:r>
    </w:p>
    <w:p>
      <w:pPr>
        <w:pStyle w:val="ListParagraph"/>
        <w:numPr>
          <w:ilvl w:val="3"/>
          <w:numId w:val="7"/>
        </w:numPr>
        <w:tabs>
          <w:tab w:pos="1164" w:val="left" w:leader="none"/>
        </w:tabs>
        <w:spacing w:line="240" w:lineRule="auto" w:before="43" w:after="0"/>
        <w:ind w:left="1164" w:right="0" w:hanging="946"/>
        <w:jc w:val="left"/>
        <w:rPr>
          <w:sz w:val="21"/>
        </w:rPr>
      </w:pPr>
      <w:r>
        <w:rPr>
          <w:w w:val="95"/>
          <w:sz w:val="21"/>
        </w:rPr>
        <w:t>商户拟展示堂食区域的，应向平台提供堂食环境的信息以供平台审核，具体要求见附录</w:t>
      </w:r>
      <w:r>
        <w:rPr>
          <w:spacing w:val="39"/>
          <w:w w:val="150"/>
          <w:sz w:val="21"/>
        </w:rPr>
        <w:t>  </w:t>
      </w:r>
      <w:r>
        <w:rPr>
          <w:w w:val="95"/>
          <w:sz w:val="21"/>
        </w:rPr>
        <w:t>B</w:t>
      </w:r>
      <w:r>
        <w:rPr>
          <w:spacing w:val="-10"/>
          <w:w w:val="95"/>
          <w:sz w:val="21"/>
        </w:rPr>
        <w:t>。</w:t>
      </w:r>
    </w:p>
    <w:p>
      <w:pPr>
        <w:pStyle w:val="ListParagraph"/>
        <w:numPr>
          <w:ilvl w:val="3"/>
          <w:numId w:val="7"/>
        </w:numPr>
        <w:tabs>
          <w:tab w:pos="1164" w:val="left" w:leader="none"/>
        </w:tabs>
        <w:spacing w:line="240" w:lineRule="auto" w:before="43" w:after="0"/>
        <w:ind w:left="1164" w:right="0" w:hanging="946"/>
        <w:jc w:val="left"/>
        <w:rPr>
          <w:sz w:val="21"/>
        </w:rPr>
      </w:pPr>
      <w:r>
        <w:rPr>
          <w:w w:val="95"/>
          <w:sz w:val="21"/>
        </w:rPr>
        <w:t>商户应提供后厨信息供消费者知悉；具体要求见附录</w:t>
      </w:r>
      <w:r>
        <w:rPr>
          <w:spacing w:val="24"/>
          <w:sz w:val="21"/>
        </w:rPr>
        <w:t>  </w:t>
      </w:r>
      <w:r>
        <w:rPr>
          <w:w w:val="95"/>
          <w:sz w:val="21"/>
        </w:rPr>
        <w:t>B</w:t>
      </w:r>
      <w:r>
        <w:rPr>
          <w:spacing w:val="-10"/>
          <w:w w:val="95"/>
          <w:sz w:val="21"/>
        </w:rPr>
        <w:t>。</w:t>
      </w:r>
    </w:p>
    <w:p>
      <w:pPr>
        <w:spacing w:after="0" w:line="240" w:lineRule="auto"/>
        <w:jc w:val="left"/>
        <w:rPr>
          <w:sz w:val="21"/>
        </w:rPr>
        <w:sectPr>
          <w:pgSz w:w="11910" w:h="16840"/>
          <w:pgMar w:header="1449" w:footer="1141" w:top="1640" w:bottom="1340" w:left="1200" w:right="720"/>
        </w:sectPr>
      </w:pPr>
    </w:p>
    <w:p>
      <w:pPr>
        <w:pStyle w:val="BodyText"/>
        <w:spacing w:before="3"/>
        <w:rPr>
          <w:sz w:val="17"/>
        </w:rPr>
      </w:pPr>
    </w:p>
    <w:p>
      <w:pPr>
        <w:pStyle w:val="ListParagraph"/>
        <w:numPr>
          <w:ilvl w:val="3"/>
          <w:numId w:val="7"/>
        </w:numPr>
        <w:tabs>
          <w:tab w:pos="1164" w:val="left" w:leader="none"/>
        </w:tabs>
        <w:spacing w:line="278" w:lineRule="auto" w:before="70" w:after="0"/>
        <w:ind w:left="218" w:right="411" w:firstLine="0"/>
        <w:jc w:val="both"/>
        <w:rPr>
          <w:sz w:val="21"/>
        </w:rPr>
      </w:pPr>
      <w:r>
        <w:rPr>
          <w:spacing w:val="-1"/>
          <w:w w:val="99"/>
          <w:sz w:val="21"/>
        </w:rPr>
        <w:t>商户应录制并上传带有门店位置信息的一镜到底视频，视频内容应清晰包含门店门脸、堂食</w:t>
      </w:r>
      <w:r>
        <w:rPr>
          <w:spacing w:val="-5"/>
          <w:w w:val="99"/>
          <w:sz w:val="21"/>
        </w:rPr>
        <w:t>区域</w:t>
      </w:r>
      <w:r>
        <w:rPr>
          <w:spacing w:val="-1"/>
          <w:w w:val="99"/>
          <w:sz w:val="21"/>
        </w:rPr>
        <w:t>（</w:t>
      </w:r>
      <w:r>
        <w:rPr>
          <w:w w:val="99"/>
          <w:sz w:val="21"/>
        </w:rPr>
        <w:t>如有</w:t>
      </w:r>
      <w:r>
        <w:rPr>
          <w:spacing w:val="-10"/>
          <w:w w:val="99"/>
          <w:sz w:val="21"/>
        </w:rPr>
        <w:t>）</w:t>
      </w:r>
      <w:r>
        <w:rPr>
          <w:spacing w:val="-4"/>
          <w:w w:val="99"/>
          <w:sz w:val="21"/>
        </w:rPr>
        <w:t>、后厨等场景；平台应根据商户上传的视频核验视频中的定位信息是否与商户根据</w:t>
      </w:r>
      <w:r>
        <w:rPr>
          <w:spacing w:val="-50"/>
          <w:sz w:val="21"/>
        </w:rPr>
        <w:t> </w:t>
      </w:r>
      <w:r>
        <w:rPr>
          <w:spacing w:val="1"/>
          <w:w w:val="99"/>
          <w:sz w:val="21"/>
        </w:rPr>
        <w:t>6.</w:t>
      </w:r>
      <w:r>
        <w:rPr>
          <w:spacing w:val="-2"/>
          <w:w w:val="99"/>
          <w:sz w:val="21"/>
        </w:rPr>
        <w:t>2</w:t>
      </w:r>
      <w:r>
        <w:rPr>
          <w:spacing w:val="1"/>
          <w:w w:val="99"/>
          <w:sz w:val="21"/>
        </w:rPr>
        <w:t>.</w:t>
      </w:r>
      <w:r>
        <w:rPr>
          <w:w w:val="99"/>
          <w:sz w:val="21"/>
        </w:rPr>
        <w:t>1</w:t>
      </w:r>
      <w:r>
        <w:rPr>
          <w:spacing w:val="-1"/>
          <w:w w:val="99"/>
          <w:sz w:val="21"/>
        </w:rPr>
        <w:t>上传的证照中所载地址一致。</w:t>
      </w:r>
    </w:p>
    <w:p>
      <w:pPr>
        <w:pStyle w:val="ListParagraph"/>
        <w:numPr>
          <w:ilvl w:val="3"/>
          <w:numId w:val="7"/>
        </w:numPr>
        <w:tabs>
          <w:tab w:pos="1164" w:val="left" w:leader="none"/>
        </w:tabs>
        <w:spacing w:line="278" w:lineRule="auto" w:before="0" w:after="0"/>
        <w:ind w:left="218" w:right="412" w:firstLine="0"/>
        <w:jc w:val="both"/>
        <w:rPr>
          <w:sz w:val="21"/>
        </w:rPr>
      </w:pPr>
      <w:r>
        <w:rPr>
          <w:spacing w:val="-1"/>
          <w:w w:val="99"/>
          <w:sz w:val="21"/>
        </w:rPr>
        <w:t>平台应基于历史数据、监管要求或风险识别模型识别存在较高食品安全风险的商户；此类商户应定期更新其根据</w:t>
      </w:r>
      <w:r>
        <w:rPr>
          <w:spacing w:val="-53"/>
          <w:sz w:val="21"/>
        </w:rPr>
        <w:t> </w:t>
      </w:r>
      <w:r>
        <w:rPr>
          <w:spacing w:val="1"/>
          <w:w w:val="99"/>
          <w:sz w:val="21"/>
        </w:rPr>
        <w:t>6.2</w:t>
      </w:r>
      <w:r>
        <w:rPr>
          <w:spacing w:val="-2"/>
          <w:w w:val="99"/>
          <w:sz w:val="21"/>
        </w:rPr>
        <w:t>.</w:t>
      </w:r>
      <w:r>
        <w:rPr>
          <w:spacing w:val="1"/>
          <w:w w:val="99"/>
          <w:sz w:val="21"/>
        </w:rPr>
        <w:t>2.</w:t>
      </w:r>
      <w:r>
        <w:rPr>
          <w:spacing w:val="-2"/>
          <w:w w:val="99"/>
          <w:sz w:val="21"/>
        </w:rPr>
        <w:t>1</w:t>
      </w:r>
      <w:r>
        <w:rPr>
          <w:spacing w:val="2"/>
          <w:w w:val="99"/>
          <w:sz w:val="21"/>
        </w:rPr>
        <w:t>、</w:t>
      </w:r>
      <w:r>
        <w:rPr>
          <w:spacing w:val="1"/>
          <w:w w:val="99"/>
          <w:sz w:val="21"/>
        </w:rPr>
        <w:t>6.2</w:t>
      </w:r>
      <w:r>
        <w:rPr>
          <w:spacing w:val="-2"/>
          <w:w w:val="99"/>
          <w:sz w:val="21"/>
        </w:rPr>
        <w:t>.</w:t>
      </w:r>
      <w:r>
        <w:rPr>
          <w:spacing w:val="1"/>
          <w:w w:val="99"/>
          <w:sz w:val="21"/>
        </w:rPr>
        <w:t>2.</w:t>
      </w:r>
      <w:r>
        <w:rPr>
          <w:w w:val="99"/>
          <w:sz w:val="21"/>
        </w:rPr>
        <w:t>2</w:t>
      </w:r>
      <w:r>
        <w:rPr>
          <w:spacing w:val="-54"/>
          <w:sz w:val="21"/>
        </w:rPr>
        <w:t> </w:t>
      </w:r>
      <w:r>
        <w:rPr>
          <w:w w:val="99"/>
          <w:sz w:val="21"/>
        </w:rPr>
        <w:t>和</w:t>
      </w:r>
      <w:r>
        <w:rPr>
          <w:spacing w:val="-53"/>
          <w:sz w:val="21"/>
        </w:rPr>
        <w:t> </w:t>
      </w:r>
      <w:r>
        <w:rPr>
          <w:spacing w:val="1"/>
          <w:w w:val="99"/>
          <w:sz w:val="21"/>
        </w:rPr>
        <w:t>6.2</w:t>
      </w:r>
      <w:r>
        <w:rPr>
          <w:spacing w:val="-2"/>
          <w:w w:val="99"/>
          <w:sz w:val="21"/>
        </w:rPr>
        <w:t>.</w:t>
      </w:r>
      <w:r>
        <w:rPr>
          <w:spacing w:val="1"/>
          <w:w w:val="99"/>
          <w:sz w:val="21"/>
        </w:rPr>
        <w:t>2.</w:t>
      </w:r>
      <w:r>
        <w:rPr>
          <w:w w:val="99"/>
          <w:sz w:val="21"/>
        </w:rPr>
        <w:t>3</w:t>
      </w:r>
      <w:r>
        <w:rPr>
          <w:spacing w:val="-52"/>
          <w:sz w:val="21"/>
        </w:rPr>
        <w:t> </w:t>
      </w:r>
      <w:r>
        <w:rPr>
          <w:spacing w:val="-1"/>
          <w:w w:val="99"/>
          <w:sz w:val="21"/>
        </w:rPr>
        <w:t>提供的场所信息，更新频次可依据特定商户上一年度行业内或平台内表现确定，但最长不超过</w:t>
      </w:r>
      <w:r>
        <w:rPr>
          <w:spacing w:val="-53"/>
          <w:sz w:val="21"/>
        </w:rPr>
        <w:t> </w:t>
      </w:r>
      <w:r>
        <w:rPr>
          <w:w w:val="99"/>
          <w:sz w:val="21"/>
        </w:rPr>
        <w:t>3</w:t>
      </w:r>
      <w:r>
        <w:rPr>
          <w:spacing w:val="-52"/>
          <w:sz w:val="21"/>
        </w:rPr>
        <w:t> </w:t>
      </w:r>
      <w:r>
        <w:rPr>
          <w:w w:val="99"/>
          <w:sz w:val="21"/>
        </w:rPr>
        <w:t>个月。</w:t>
      </w:r>
    </w:p>
    <w:p>
      <w:pPr>
        <w:pStyle w:val="ListParagraph"/>
        <w:numPr>
          <w:ilvl w:val="1"/>
          <w:numId w:val="2"/>
        </w:numPr>
        <w:tabs>
          <w:tab w:pos="744" w:val="left" w:leader="none"/>
        </w:tabs>
        <w:spacing w:line="240" w:lineRule="auto" w:before="155" w:after="0"/>
        <w:ind w:left="744" w:right="0" w:hanging="526"/>
        <w:jc w:val="left"/>
        <w:rPr>
          <w:rFonts w:ascii="黑体" w:eastAsia="黑体"/>
          <w:sz w:val="21"/>
        </w:rPr>
      </w:pPr>
      <w:bookmarkStart w:name="6.3　信息审核" w:id="47"/>
      <w:bookmarkEnd w:id="47"/>
      <w:r>
        <w:rPr/>
      </w:r>
      <w:bookmarkStart w:name="_bookmark11" w:id="48"/>
      <w:bookmarkEnd w:id="48"/>
      <w:r>
        <w:rPr>
          <w:rFonts w:ascii="黑体" w:eastAsia="黑体"/>
          <w:spacing w:val="-3"/>
          <w:w w:val="95"/>
          <w:sz w:val="21"/>
        </w:rPr>
        <w:t>信息审核</w:t>
      </w:r>
    </w:p>
    <w:p>
      <w:pPr>
        <w:pStyle w:val="BodyText"/>
        <w:spacing w:before="7"/>
        <w:rPr>
          <w:rFonts w:ascii="黑体"/>
          <w:sz w:val="15"/>
        </w:rPr>
      </w:pPr>
    </w:p>
    <w:p>
      <w:pPr>
        <w:pStyle w:val="ListParagraph"/>
        <w:numPr>
          <w:ilvl w:val="2"/>
          <w:numId w:val="2"/>
        </w:numPr>
        <w:tabs>
          <w:tab w:pos="953" w:val="left" w:leader="none"/>
        </w:tabs>
        <w:spacing w:line="240" w:lineRule="auto" w:before="0" w:after="0"/>
        <w:ind w:left="952" w:right="0" w:hanging="735"/>
        <w:jc w:val="left"/>
        <w:rPr>
          <w:rFonts w:ascii="黑体" w:eastAsia="黑体"/>
          <w:sz w:val="21"/>
        </w:rPr>
      </w:pPr>
      <w:bookmarkStart w:name="6.3.1　审核方式" w:id="49"/>
      <w:bookmarkEnd w:id="49"/>
      <w:r>
        <w:rPr>
          <w:rFonts w:ascii="黑体" w:eastAsia="黑体"/>
          <w:spacing w:val="-3"/>
          <w:w w:val="95"/>
          <w:sz w:val="21"/>
        </w:rPr>
        <w:t>审核方式</w:t>
      </w:r>
    </w:p>
    <w:p>
      <w:pPr>
        <w:pStyle w:val="BodyText"/>
        <w:spacing w:before="7"/>
        <w:rPr>
          <w:rFonts w:ascii="黑体"/>
          <w:sz w:val="15"/>
        </w:rPr>
      </w:pPr>
    </w:p>
    <w:p>
      <w:pPr>
        <w:pStyle w:val="BodyText"/>
        <w:ind w:left="638"/>
      </w:pPr>
      <w:r>
        <w:rPr>
          <w:spacing w:val="-1"/>
          <w:w w:val="95"/>
        </w:rPr>
        <w:t>平台应对入驻商户信息进行审核，包括准入审核和动态审核两种方式。</w:t>
      </w:r>
    </w:p>
    <w:p>
      <w:pPr>
        <w:pStyle w:val="BodyText"/>
        <w:spacing w:before="6"/>
        <w:rPr>
          <w:sz w:val="15"/>
        </w:rPr>
      </w:pPr>
    </w:p>
    <w:p>
      <w:pPr>
        <w:pStyle w:val="ListParagraph"/>
        <w:numPr>
          <w:ilvl w:val="2"/>
          <w:numId w:val="2"/>
        </w:numPr>
        <w:tabs>
          <w:tab w:pos="953" w:val="left" w:leader="none"/>
        </w:tabs>
        <w:spacing w:line="240" w:lineRule="auto" w:before="0" w:after="0"/>
        <w:ind w:left="952" w:right="0" w:hanging="735"/>
        <w:jc w:val="left"/>
        <w:rPr>
          <w:rFonts w:ascii="黑体" w:eastAsia="黑体"/>
          <w:sz w:val="21"/>
        </w:rPr>
      </w:pPr>
      <w:bookmarkStart w:name="6.3.2　准入审核" w:id="50"/>
      <w:bookmarkEnd w:id="50"/>
      <w:r>
        <w:rPr>
          <w:rFonts w:ascii="黑体" w:eastAsia="黑体"/>
          <w:spacing w:val="-3"/>
          <w:w w:val="95"/>
          <w:sz w:val="21"/>
        </w:rPr>
        <w:t>准入审核</w:t>
      </w:r>
    </w:p>
    <w:p>
      <w:pPr>
        <w:pStyle w:val="BodyText"/>
        <w:spacing w:before="7"/>
        <w:rPr>
          <w:rFonts w:ascii="黑体"/>
          <w:sz w:val="15"/>
        </w:rPr>
      </w:pPr>
    </w:p>
    <w:p>
      <w:pPr>
        <w:pStyle w:val="ListParagraph"/>
        <w:numPr>
          <w:ilvl w:val="3"/>
          <w:numId w:val="8"/>
        </w:numPr>
        <w:tabs>
          <w:tab w:pos="1164" w:val="left" w:leader="none"/>
        </w:tabs>
        <w:spacing w:line="278" w:lineRule="auto" w:before="0" w:after="0"/>
        <w:ind w:left="218" w:right="412" w:firstLine="0"/>
        <w:jc w:val="both"/>
        <w:rPr>
          <w:sz w:val="21"/>
        </w:rPr>
      </w:pPr>
      <w:r>
        <w:rPr>
          <w:spacing w:val="-1"/>
          <w:w w:val="99"/>
          <w:sz w:val="21"/>
        </w:rPr>
        <w:t>平台应当设置专门的团队和人员，对商户提供的营业执照、食品经营许可证等证照资质信息</w:t>
      </w:r>
      <w:r>
        <w:rPr>
          <w:spacing w:val="-9"/>
          <w:w w:val="99"/>
          <w:sz w:val="21"/>
        </w:rPr>
        <w:t>进行核实，保障证照资质齐全，并由平台提供证照资质验证功能，对证照资质的真实性、有效性进行验</w:t>
      </w:r>
      <w:r>
        <w:rPr>
          <w:spacing w:val="-1"/>
          <w:w w:val="99"/>
          <w:sz w:val="21"/>
        </w:rPr>
        <w:t>证。</w:t>
      </w:r>
    </w:p>
    <w:p>
      <w:pPr>
        <w:pStyle w:val="ListParagraph"/>
        <w:numPr>
          <w:ilvl w:val="3"/>
          <w:numId w:val="8"/>
        </w:numPr>
        <w:tabs>
          <w:tab w:pos="1164" w:val="left" w:leader="none"/>
        </w:tabs>
        <w:spacing w:line="278" w:lineRule="auto" w:before="0" w:after="0"/>
        <w:ind w:left="218" w:right="411" w:firstLine="0"/>
        <w:jc w:val="both"/>
        <w:rPr>
          <w:sz w:val="21"/>
        </w:rPr>
      </w:pPr>
      <w:r>
        <w:rPr>
          <w:spacing w:val="-6"/>
          <w:w w:val="99"/>
          <w:sz w:val="21"/>
        </w:rPr>
        <w:t>平台应通过图像识别、人工智能等技术或人工方式审核商户依据</w:t>
      </w:r>
      <w:r>
        <w:rPr>
          <w:spacing w:val="-50"/>
          <w:sz w:val="21"/>
        </w:rPr>
        <w:t> </w:t>
      </w:r>
      <w:r>
        <w:rPr>
          <w:spacing w:val="1"/>
          <w:w w:val="99"/>
          <w:sz w:val="21"/>
        </w:rPr>
        <w:t>6.2</w:t>
      </w:r>
      <w:r>
        <w:rPr>
          <w:spacing w:val="-2"/>
          <w:w w:val="99"/>
          <w:sz w:val="21"/>
        </w:rPr>
        <w:t>.</w:t>
      </w:r>
      <w:r>
        <w:rPr>
          <w:spacing w:val="1"/>
          <w:w w:val="99"/>
          <w:sz w:val="21"/>
        </w:rPr>
        <w:t>2.</w:t>
      </w:r>
      <w:r>
        <w:rPr>
          <w:spacing w:val="-2"/>
          <w:w w:val="99"/>
          <w:sz w:val="21"/>
        </w:rPr>
        <w:t>1</w:t>
      </w:r>
      <w:r>
        <w:rPr>
          <w:spacing w:val="-49"/>
          <w:w w:val="99"/>
          <w:sz w:val="21"/>
        </w:rPr>
        <w:t>、</w:t>
      </w:r>
      <w:r>
        <w:rPr>
          <w:spacing w:val="1"/>
          <w:w w:val="99"/>
          <w:sz w:val="21"/>
        </w:rPr>
        <w:t>6.</w:t>
      </w:r>
      <w:r>
        <w:rPr>
          <w:spacing w:val="-2"/>
          <w:w w:val="99"/>
          <w:sz w:val="21"/>
        </w:rPr>
        <w:t>2</w:t>
      </w:r>
      <w:r>
        <w:rPr>
          <w:spacing w:val="1"/>
          <w:w w:val="99"/>
          <w:sz w:val="21"/>
        </w:rPr>
        <w:t>.2.</w:t>
      </w:r>
      <w:r>
        <w:rPr>
          <w:spacing w:val="-2"/>
          <w:w w:val="99"/>
          <w:sz w:val="21"/>
        </w:rPr>
        <w:t>2</w:t>
      </w:r>
      <w:r>
        <w:rPr>
          <w:spacing w:val="-49"/>
          <w:w w:val="99"/>
          <w:sz w:val="21"/>
        </w:rPr>
        <w:t>、</w:t>
      </w:r>
      <w:r>
        <w:rPr>
          <w:spacing w:val="1"/>
          <w:w w:val="99"/>
          <w:sz w:val="21"/>
        </w:rPr>
        <w:t>6.2</w:t>
      </w:r>
      <w:r>
        <w:rPr>
          <w:spacing w:val="-2"/>
          <w:w w:val="99"/>
          <w:sz w:val="21"/>
        </w:rPr>
        <w:t>.</w:t>
      </w:r>
      <w:r>
        <w:rPr>
          <w:spacing w:val="1"/>
          <w:w w:val="99"/>
          <w:sz w:val="21"/>
        </w:rPr>
        <w:t>2.</w:t>
      </w:r>
      <w:r>
        <w:rPr>
          <w:w w:val="99"/>
          <w:sz w:val="21"/>
        </w:rPr>
        <w:t>3和</w:t>
      </w:r>
      <w:r>
        <w:rPr>
          <w:spacing w:val="-53"/>
          <w:sz w:val="21"/>
        </w:rPr>
        <w:t> </w:t>
      </w:r>
      <w:r>
        <w:rPr>
          <w:spacing w:val="1"/>
          <w:w w:val="99"/>
          <w:sz w:val="21"/>
        </w:rPr>
        <w:t>6.2</w:t>
      </w:r>
      <w:r>
        <w:rPr>
          <w:spacing w:val="-2"/>
          <w:w w:val="99"/>
          <w:sz w:val="21"/>
        </w:rPr>
        <w:t>.</w:t>
      </w:r>
      <w:r>
        <w:rPr>
          <w:spacing w:val="1"/>
          <w:w w:val="99"/>
          <w:sz w:val="21"/>
        </w:rPr>
        <w:t>2.</w:t>
      </w:r>
      <w:r>
        <w:rPr>
          <w:w w:val="99"/>
          <w:sz w:val="21"/>
        </w:rPr>
        <w:t>4</w:t>
      </w:r>
      <w:r>
        <w:rPr>
          <w:spacing w:val="-54"/>
          <w:sz w:val="21"/>
        </w:rPr>
        <w:t> </w:t>
      </w:r>
      <w:r>
        <w:rPr>
          <w:spacing w:val="-4"/>
          <w:w w:val="99"/>
          <w:sz w:val="21"/>
        </w:rPr>
        <w:t>提交的信息</w:t>
      </w:r>
      <w:r>
        <w:rPr>
          <w:spacing w:val="-1"/>
          <w:w w:val="99"/>
          <w:sz w:val="21"/>
        </w:rPr>
        <w:t>（</w:t>
      </w:r>
      <w:r>
        <w:rPr>
          <w:spacing w:val="-3"/>
          <w:w w:val="99"/>
          <w:sz w:val="21"/>
        </w:rPr>
        <w:t>含图片、视频</w:t>
      </w:r>
      <w:r>
        <w:rPr>
          <w:spacing w:val="-15"/>
          <w:w w:val="99"/>
          <w:sz w:val="21"/>
        </w:rPr>
        <w:t>）</w:t>
      </w:r>
      <w:r>
        <w:rPr>
          <w:spacing w:val="-6"/>
          <w:w w:val="99"/>
          <w:sz w:val="21"/>
        </w:rPr>
        <w:t>，避免该信息存在模糊、遮挡、不一致、疑似非真实场景等异</w:t>
      </w:r>
      <w:r>
        <w:rPr>
          <w:spacing w:val="-1"/>
          <w:w w:val="99"/>
          <w:sz w:val="21"/>
        </w:rPr>
        <w:t>常情况。</w:t>
      </w:r>
    </w:p>
    <w:p>
      <w:pPr>
        <w:pStyle w:val="ListParagraph"/>
        <w:numPr>
          <w:ilvl w:val="3"/>
          <w:numId w:val="8"/>
        </w:numPr>
        <w:tabs>
          <w:tab w:pos="1164" w:val="left" w:leader="none"/>
        </w:tabs>
        <w:spacing w:line="278" w:lineRule="auto" w:before="0" w:after="0"/>
        <w:ind w:left="218" w:right="415" w:firstLine="0"/>
        <w:jc w:val="both"/>
        <w:rPr>
          <w:sz w:val="21"/>
        </w:rPr>
      </w:pPr>
      <w:r>
        <w:rPr>
          <w:spacing w:val="-1"/>
          <w:w w:val="99"/>
          <w:sz w:val="21"/>
        </w:rPr>
        <w:t>平台应对商户依据</w:t>
      </w:r>
      <w:r>
        <w:rPr>
          <w:spacing w:val="-50"/>
          <w:sz w:val="21"/>
        </w:rPr>
        <w:t> </w:t>
      </w:r>
      <w:r>
        <w:rPr>
          <w:spacing w:val="1"/>
          <w:w w:val="99"/>
          <w:sz w:val="21"/>
        </w:rPr>
        <w:t>6.2</w:t>
      </w:r>
      <w:r>
        <w:rPr>
          <w:spacing w:val="-2"/>
          <w:w w:val="99"/>
          <w:sz w:val="21"/>
        </w:rPr>
        <w:t>.</w:t>
      </w:r>
      <w:r>
        <w:rPr>
          <w:spacing w:val="1"/>
          <w:w w:val="99"/>
          <w:sz w:val="21"/>
        </w:rPr>
        <w:t>2.</w:t>
      </w:r>
      <w:r>
        <w:rPr>
          <w:w w:val="99"/>
          <w:sz w:val="21"/>
        </w:rPr>
        <w:t>2</w:t>
      </w:r>
      <w:r>
        <w:rPr>
          <w:spacing w:val="-54"/>
          <w:sz w:val="21"/>
        </w:rPr>
        <w:t> </w:t>
      </w:r>
      <w:r>
        <w:rPr>
          <w:spacing w:val="-1"/>
          <w:w w:val="99"/>
          <w:sz w:val="21"/>
        </w:rPr>
        <w:t>提交的堂食环境信息进行审核，审核通过后，应于显著位置为商户标注带有“堂食”字样的标签，以便消费者识别。</w:t>
      </w:r>
    </w:p>
    <w:p>
      <w:pPr>
        <w:pStyle w:val="ListParagraph"/>
        <w:numPr>
          <w:ilvl w:val="3"/>
          <w:numId w:val="8"/>
        </w:numPr>
        <w:tabs>
          <w:tab w:pos="1164" w:val="left" w:leader="none"/>
        </w:tabs>
        <w:spacing w:line="278" w:lineRule="auto" w:before="0" w:after="0"/>
        <w:ind w:left="218" w:right="412" w:firstLine="0"/>
        <w:jc w:val="both"/>
        <w:rPr>
          <w:sz w:val="21"/>
        </w:rPr>
      </w:pPr>
      <w:r>
        <w:rPr>
          <w:spacing w:val="-1"/>
          <w:w w:val="99"/>
          <w:sz w:val="21"/>
        </w:rPr>
        <w:t>平台需确认每家线上门店均明确关联至唯一线下经营场所；同一商户在不同线下经营场所开</w:t>
      </w:r>
      <w:r>
        <w:rPr>
          <w:spacing w:val="-10"/>
          <w:w w:val="99"/>
          <w:sz w:val="21"/>
        </w:rPr>
        <w:t>展食品经营活动的，平台应确认其在平台内开设的每家线上门店均已分别提供对应经营场所的食品经营</w:t>
      </w:r>
      <w:r>
        <w:rPr>
          <w:spacing w:val="-1"/>
          <w:w w:val="99"/>
          <w:sz w:val="21"/>
        </w:rPr>
        <w:t>许可或其他必备证明。</w:t>
      </w:r>
    </w:p>
    <w:p>
      <w:pPr>
        <w:pStyle w:val="ListParagraph"/>
        <w:numPr>
          <w:ilvl w:val="3"/>
          <w:numId w:val="8"/>
        </w:numPr>
        <w:tabs>
          <w:tab w:pos="1164" w:val="left" w:leader="none"/>
        </w:tabs>
        <w:spacing w:line="278" w:lineRule="auto" w:before="0" w:after="0"/>
        <w:ind w:left="218" w:right="412" w:firstLine="0"/>
        <w:jc w:val="both"/>
        <w:rPr>
          <w:sz w:val="21"/>
        </w:rPr>
      </w:pPr>
      <w:r>
        <w:rPr>
          <w:spacing w:val="-1"/>
          <w:w w:val="99"/>
          <w:sz w:val="21"/>
        </w:rPr>
        <w:t>如商户的信息符合平台入驻审核标准，应允许商户上线经营；若不符合，则平台应依据法律法规及平台规则及时采取相应处理措施。</w:t>
      </w:r>
    </w:p>
    <w:p>
      <w:pPr>
        <w:pStyle w:val="ListParagraph"/>
        <w:numPr>
          <w:ilvl w:val="2"/>
          <w:numId w:val="2"/>
        </w:numPr>
        <w:tabs>
          <w:tab w:pos="953" w:val="left" w:leader="none"/>
        </w:tabs>
        <w:spacing w:line="240" w:lineRule="auto" w:before="155" w:after="0"/>
        <w:ind w:left="952" w:right="0" w:hanging="735"/>
        <w:jc w:val="left"/>
        <w:rPr>
          <w:rFonts w:ascii="黑体" w:eastAsia="黑体"/>
          <w:sz w:val="21"/>
        </w:rPr>
      </w:pPr>
      <w:bookmarkStart w:name="6.3.3　动态审核" w:id="51"/>
      <w:bookmarkEnd w:id="51"/>
      <w:r>
        <w:rPr>
          <w:rFonts w:ascii="黑体" w:eastAsia="黑体"/>
          <w:spacing w:val="-3"/>
          <w:w w:val="95"/>
          <w:sz w:val="21"/>
        </w:rPr>
        <w:t>动态审核</w:t>
      </w:r>
    </w:p>
    <w:p>
      <w:pPr>
        <w:pStyle w:val="BodyText"/>
        <w:spacing w:before="6"/>
        <w:rPr>
          <w:rFonts w:ascii="黑体"/>
          <w:sz w:val="15"/>
        </w:rPr>
      </w:pPr>
    </w:p>
    <w:p>
      <w:pPr>
        <w:pStyle w:val="ListParagraph"/>
        <w:numPr>
          <w:ilvl w:val="3"/>
          <w:numId w:val="9"/>
        </w:numPr>
        <w:tabs>
          <w:tab w:pos="1164" w:val="left" w:leader="none"/>
        </w:tabs>
        <w:spacing w:line="278" w:lineRule="auto" w:before="1" w:after="0"/>
        <w:ind w:left="218" w:right="412" w:firstLine="0"/>
        <w:jc w:val="left"/>
        <w:rPr>
          <w:sz w:val="21"/>
        </w:rPr>
      </w:pPr>
      <w:r>
        <w:rPr>
          <w:spacing w:val="-1"/>
          <w:w w:val="99"/>
          <w:sz w:val="21"/>
        </w:rPr>
        <w:t>在商户于平台内经营期间，平台可利用图像识别技术、人工智能等技术手段结合人工审核对商户信息进行动态审核，每月抽查和监测比例不低于</w:t>
      </w:r>
      <w:r>
        <w:rPr>
          <w:spacing w:val="-50"/>
          <w:sz w:val="21"/>
        </w:rPr>
        <w:t> </w:t>
      </w:r>
      <w:r>
        <w:rPr>
          <w:spacing w:val="1"/>
          <w:w w:val="99"/>
          <w:sz w:val="21"/>
        </w:rPr>
        <w:t>5</w:t>
      </w:r>
      <w:r>
        <w:rPr>
          <w:spacing w:val="-1"/>
          <w:w w:val="99"/>
          <w:sz w:val="21"/>
        </w:rPr>
        <w:t>%。</w:t>
      </w:r>
    </w:p>
    <w:p>
      <w:pPr>
        <w:pStyle w:val="ListParagraph"/>
        <w:numPr>
          <w:ilvl w:val="3"/>
          <w:numId w:val="9"/>
        </w:numPr>
        <w:tabs>
          <w:tab w:pos="1164" w:val="left" w:leader="none"/>
        </w:tabs>
        <w:spacing w:line="278" w:lineRule="auto" w:before="0" w:after="0"/>
        <w:ind w:left="218" w:right="203" w:firstLine="0"/>
        <w:jc w:val="left"/>
        <w:rPr>
          <w:sz w:val="21"/>
        </w:rPr>
      </w:pPr>
      <w:r>
        <w:rPr>
          <w:spacing w:val="-8"/>
          <w:w w:val="95"/>
          <w:sz w:val="21"/>
        </w:rPr>
        <w:t>平台应建立商户信息动态审核触发机制。当出现以下任一情形时，平台应对该商户按</w:t>
      </w:r>
      <w:r>
        <w:rPr>
          <w:spacing w:val="54"/>
          <w:sz w:val="21"/>
        </w:rPr>
        <w:t> </w:t>
      </w:r>
      <w:r>
        <w:rPr>
          <w:w w:val="95"/>
          <w:sz w:val="21"/>
        </w:rPr>
        <w:t>6.2.2.1、</w:t>
      </w:r>
      <w:r>
        <w:rPr>
          <w:spacing w:val="80"/>
          <w:sz w:val="21"/>
        </w:rPr>
        <w:t> </w:t>
      </w:r>
      <w:r>
        <w:rPr>
          <w:sz w:val="21"/>
        </w:rPr>
        <w:t>6.2.2.2、6.2.2.3</w:t>
      </w:r>
      <w:r>
        <w:rPr>
          <w:spacing w:val="-8"/>
          <w:sz w:val="21"/>
        </w:rPr>
        <w:t> 和 </w:t>
      </w:r>
      <w:r>
        <w:rPr>
          <w:sz w:val="21"/>
        </w:rPr>
        <w:t>6.2.2.4</w:t>
      </w:r>
      <w:r>
        <w:rPr>
          <w:spacing w:val="-4"/>
          <w:sz w:val="21"/>
        </w:rPr>
        <w:t> 提交的门脸、后厨、堂食环境</w:t>
      </w:r>
      <w:r>
        <w:rPr>
          <w:sz w:val="21"/>
        </w:rPr>
        <w:t>（如适用）信息及带位置信息的一镜到底</w:t>
      </w:r>
      <w:r>
        <w:rPr>
          <w:sz w:val="21"/>
        </w:rPr>
        <w:t> </w:t>
      </w:r>
      <w:r>
        <w:rPr>
          <w:spacing w:val="-2"/>
          <w:sz w:val="21"/>
        </w:rPr>
        <w:t>视频进行动态审核：</w:t>
      </w:r>
    </w:p>
    <w:p>
      <w:pPr>
        <w:pStyle w:val="ListParagraph"/>
        <w:numPr>
          <w:ilvl w:val="4"/>
          <w:numId w:val="9"/>
        </w:numPr>
        <w:tabs>
          <w:tab w:pos="1068" w:val="left" w:leader="none"/>
        </w:tabs>
        <w:spacing w:line="269" w:lineRule="exact" w:before="0" w:after="0"/>
        <w:ind w:left="1068" w:right="0" w:hanging="425"/>
        <w:jc w:val="left"/>
        <w:rPr>
          <w:sz w:val="21"/>
        </w:rPr>
      </w:pPr>
      <w:r>
        <w:rPr>
          <w:w w:val="95"/>
          <w:sz w:val="21"/>
        </w:rPr>
        <w:t>商户根据</w:t>
      </w:r>
      <w:r>
        <w:rPr>
          <w:spacing w:val="2"/>
          <w:sz w:val="21"/>
        </w:rPr>
        <w:t> </w:t>
      </w:r>
      <w:r>
        <w:rPr>
          <w:w w:val="95"/>
          <w:sz w:val="21"/>
        </w:rPr>
        <w:t>6.2.2.5</w:t>
      </w:r>
      <w:r>
        <w:rPr>
          <w:spacing w:val="-5"/>
          <w:sz w:val="21"/>
        </w:rPr>
        <w:t> </w:t>
      </w:r>
      <w:r>
        <w:rPr>
          <w:spacing w:val="-2"/>
          <w:w w:val="95"/>
          <w:sz w:val="21"/>
        </w:rPr>
        <w:t>更新信息；</w:t>
      </w:r>
    </w:p>
    <w:p>
      <w:pPr>
        <w:pStyle w:val="ListParagraph"/>
        <w:numPr>
          <w:ilvl w:val="4"/>
          <w:numId w:val="9"/>
        </w:numPr>
        <w:tabs>
          <w:tab w:pos="1068" w:val="left" w:leader="none"/>
        </w:tabs>
        <w:spacing w:line="240" w:lineRule="auto" w:before="42" w:after="0"/>
        <w:ind w:left="1068" w:right="0" w:hanging="425"/>
        <w:jc w:val="left"/>
        <w:rPr>
          <w:sz w:val="21"/>
        </w:rPr>
      </w:pPr>
      <w:r>
        <w:rPr>
          <w:spacing w:val="-1"/>
          <w:w w:val="95"/>
          <w:sz w:val="21"/>
        </w:rPr>
        <w:t>平台通过技术检测或线下检查等方式发现商户证照资质存在失效、变更等情况；</w:t>
      </w:r>
    </w:p>
    <w:p>
      <w:pPr>
        <w:pStyle w:val="ListParagraph"/>
        <w:numPr>
          <w:ilvl w:val="4"/>
          <w:numId w:val="9"/>
        </w:numPr>
        <w:tabs>
          <w:tab w:pos="1068" w:val="left" w:leader="none"/>
        </w:tabs>
        <w:spacing w:line="240" w:lineRule="auto" w:before="43" w:after="0"/>
        <w:ind w:left="1068" w:right="0" w:hanging="425"/>
        <w:jc w:val="left"/>
        <w:rPr>
          <w:sz w:val="21"/>
        </w:rPr>
      </w:pPr>
      <w:r>
        <w:rPr>
          <w:spacing w:val="-1"/>
          <w:w w:val="95"/>
          <w:sz w:val="21"/>
        </w:rPr>
        <w:t>平台通过线下检查等方式发现商户存在涉食品安全风险的环境和卫生问题；</w:t>
      </w:r>
    </w:p>
    <w:p>
      <w:pPr>
        <w:pStyle w:val="ListParagraph"/>
        <w:numPr>
          <w:ilvl w:val="4"/>
          <w:numId w:val="9"/>
        </w:numPr>
        <w:tabs>
          <w:tab w:pos="1068" w:val="left" w:leader="none"/>
        </w:tabs>
        <w:spacing w:line="278" w:lineRule="auto" w:before="43" w:after="0"/>
        <w:ind w:left="1068" w:right="412" w:hanging="425"/>
        <w:jc w:val="left"/>
        <w:rPr>
          <w:sz w:val="21"/>
        </w:rPr>
      </w:pPr>
      <w:r>
        <w:rPr>
          <w:spacing w:val="1"/>
          <w:w w:val="99"/>
          <w:sz w:val="21"/>
        </w:rPr>
        <w:t>平台通过技术监测和线下检查等方式发现配送员取单地址与商户上传的证照中所载地址不一</w:t>
      </w:r>
      <w:r>
        <w:rPr>
          <w:spacing w:val="-1"/>
          <w:w w:val="99"/>
          <w:sz w:val="21"/>
        </w:rPr>
        <w:t>致；</w:t>
      </w:r>
    </w:p>
    <w:p>
      <w:pPr>
        <w:pStyle w:val="ListParagraph"/>
        <w:numPr>
          <w:ilvl w:val="4"/>
          <w:numId w:val="9"/>
        </w:numPr>
        <w:tabs>
          <w:tab w:pos="1068" w:val="left" w:leader="none"/>
        </w:tabs>
        <w:spacing w:line="269" w:lineRule="exact" w:before="0" w:after="0"/>
        <w:ind w:left="1068" w:right="0" w:hanging="425"/>
        <w:jc w:val="left"/>
        <w:rPr>
          <w:sz w:val="21"/>
        </w:rPr>
      </w:pPr>
      <w:r>
        <w:rPr>
          <w:spacing w:val="-1"/>
          <w:w w:val="95"/>
          <w:sz w:val="21"/>
        </w:rPr>
        <w:t>平台收到关于该商户经营场所真实性的有效投诉或举报；</w:t>
      </w:r>
    </w:p>
    <w:p>
      <w:pPr>
        <w:pStyle w:val="ListParagraph"/>
        <w:numPr>
          <w:ilvl w:val="4"/>
          <w:numId w:val="9"/>
        </w:numPr>
        <w:tabs>
          <w:tab w:pos="1068" w:val="left" w:leader="none"/>
        </w:tabs>
        <w:spacing w:line="240" w:lineRule="auto" w:before="43" w:after="0"/>
        <w:ind w:left="1068" w:right="0" w:hanging="425"/>
        <w:jc w:val="left"/>
        <w:rPr>
          <w:sz w:val="21"/>
        </w:rPr>
      </w:pPr>
      <w:r>
        <w:rPr>
          <w:spacing w:val="-1"/>
          <w:w w:val="95"/>
          <w:sz w:val="21"/>
        </w:rPr>
        <w:t>监管部门要求或平台基于风险研判认为有必要进行动态审核的其他情形。</w:t>
      </w:r>
    </w:p>
    <w:p>
      <w:pPr>
        <w:pStyle w:val="BodyText"/>
        <w:spacing w:before="7"/>
        <w:rPr>
          <w:sz w:val="15"/>
        </w:rPr>
      </w:pPr>
    </w:p>
    <w:p>
      <w:pPr>
        <w:pStyle w:val="ListParagraph"/>
        <w:numPr>
          <w:ilvl w:val="1"/>
          <w:numId w:val="2"/>
        </w:numPr>
        <w:tabs>
          <w:tab w:pos="744" w:val="left" w:leader="none"/>
        </w:tabs>
        <w:spacing w:line="240" w:lineRule="auto" w:before="0" w:after="0"/>
        <w:ind w:left="744" w:right="0" w:hanging="526"/>
        <w:jc w:val="left"/>
        <w:rPr>
          <w:rFonts w:ascii="黑体" w:eastAsia="黑体"/>
          <w:sz w:val="21"/>
        </w:rPr>
      </w:pPr>
      <w:bookmarkStart w:name="6.4　运营管理" w:id="52"/>
      <w:bookmarkEnd w:id="52"/>
      <w:r>
        <w:rPr/>
      </w:r>
      <w:bookmarkStart w:name="_bookmark12" w:id="53"/>
      <w:bookmarkEnd w:id="53"/>
      <w:r>
        <w:rPr>
          <w:rFonts w:ascii="黑体" w:eastAsia="黑体"/>
          <w:spacing w:val="-3"/>
          <w:w w:val="95"/>
          <w:sz w:val="21"/>
        </w:rPr>
        <w:t>运营管理</w:t>
      </w:r>
    </w:p>
    <w:p>
      <w:pPr>
        <w:pStyle w:val="BodyText"/>
        <w:spacing w:before="6"/>
        <w:rPr>
          <w:rFonts w:ascii="黑体"/>
          <w:sz w:val="15"/>
        </w:rPr>
      </w:pPr>
    </w:p>
    <w:p>
      <w:pPr>
        <w:pStyle w:val="ListParagraph"/>
        <w:numPr>
          <w:ilvl w:val="2"/>
          <w:numId w:val="2"/>
        </w:numPr>
        <w:tabs>
          <w:tab w:pos="953" w:val="left" w:leader="none"/>
        </w:tabs>
        <w:spacing w:line="240" w:lineRule="auto" w:before="1" w:after="0"/>
        <w:ind w:left="952" w:right="0" w:hanging="735"/>
        <w:jc w:val="left"/>
        <w:rPr>
          <w:rFonts w:ascii="黑体" w:eastAsia="黑体"/>
          <w:sz w:val="21"/>
        </w:rPr>
      </w:pPr>
      <w:bookmarkStart w:name="6.4.1　网上亮照" w:id="54"/>
      <w:bookmarkEnd w:id="54"/>
      <w:r>
        <w:rPr>
          <w:rFonts w:ascii="黑体" w:eastAsia="黑体"/>
          <w:spacing w:val="-3"/>
          <w:w w:val="95"/>
          <w:sz w:val="21"/>
        </w:rPr>
        <w:t>网上亮照</w:t>
      </w:r>
    </w:p>
    <w:p>
      <w:pPr>
        <w:spacing w:after="0" w:line="240" w:lineRule="auto"/>
        <w:jc w:val="left"/>
        <w:rPr>
          <w:rFonts w:ascii="黑体" w:eastAsia="黑体"/>
          <w:sz w:val="21"/>
        </w:rPr>
        <w:sectPr>
          <w:pgSz w:w="11910" w:h="16840"/>
          <w:pgMar w:header="1449" w:footer="1141" w:top="1640" w:bottom="1340" w:left="1200" w:right="720"/>
        </w:sectPr>
      </w:pPr>
    </w:p>
    <w:p>
      <w:pPr>
        <w:pStyle w:val="BodyText"/>
        <w:spacing w:before="3"/>
        <w:rPr>
          <w:rFonts w:ascii="黑体"/>
          <w:sz w:val="17"/>
        </w:rPr>
      </w:pPr>
    </w:p>
    <w:p>
      <w:pPr>
        <w:pStyle w:val="ListParagraph"/>
        <w:numPr>
          <w:ilvl w:val="3"/>
          <w:numId w:val="10"/>
        </w:numPr>
        <w:tabs>
          <w:tab w:pos="1164" w:val="left" w:leader="none"/>
        </w:tabs>
        <w:spacing w:line="278" w:lineRule="auto" w:before="70" w:after="0"/>
        <w:ind w:left="218" w:right="415" w:firstLine="0"/>
        <w:jc w:val="left"/>
        <w:rPr>
          <w:sz w:val="21"/>
        </w:rPr>
      </w:pPr>
      <w:r>
        <w:rPr>
          <w:spacing w:val="-1"/>
          <w:w w:val="99"/>
          <w:sz w:val="21"/>
        </w:rPr>
        <w:t>平台应在商户经营活动主页面显著位置，持续公示商户根据</w:t>
      </w:r>
      <w:r>
        <w:rPr>
          <w:spacing w:val="-53"/>
          <w:sz w:val="21"/>
        </w:rPr>
        <w:t> </w:t>
      </w:r>
      <w:r>
        <w:rPr>
          <w:spacing w:val="1"/>
          <w:w w:val="99"/>
          <w:sz w:val="21"/>
        </w:rPr>
        <w:t>6.</w:t>
      </w:r>
      <w:r>
        <w:rPr>
          <w:spacing w:val="-2"/>
          <w:w w:val="99"/>
          <w:sz w:val="21"/>
        </w:rPr>
        <w:t>2</w:t>
      </w:r>
      <w:r>
        <w:rPr>
          <w:spacing w:val="1"/>
          <w:w w:val="99"/>
          <w:sz w:val="21"/>
        </w:rPr>
        <w:t>.</w:t>
      </w:r>
      <w:r>
        <w:rPr>
          <w:w w:val="99"/>
          <w:sz w:val="21"/>
        </w:rPr>
        <w:t>1</w:t>
      </w:r>
      <w:r>
        <w:rPr>
          <w:spacing w:val="-52"/>
          <w:sz w:val="21"/>
        </w:rPr>
        <w:t> </w:t>
      </w:r>
      <w:r>
        <w:rPr>
          <w:spacing w:val="-1"/>
          <w:w w:val="99"/>
          <w:sz w:val="21"/>
        </w:rPr>
        <w:t>提供的营业执照信息以及与经营业务相关的行政许可信息（如食品经营许可）</w:t>
      </w:r>
      <w:r>
        <w:rPr>
          <w:w w:val="99"/>
          <w:sz w:val="21"/>
        </w:rPr>
        <w:t>。</w:t>
      </w:r>
    </w:p>
    <w:p>
      <w:pPr>
        <w:pStyle w:val="ListParagraph"/>
        <w:numPr>
          <w:ilvl w:val="3"/>
          <w:numId w:val="10"/>
        </w:numPr>
        <w:tabs>
          <w:tab w:pos="1164" w:val="left" w:leader="none"/>
        </w:tabs>
        <w:spacing w:line="269" w:lineRule="exact" w:before="0" w:after="0"/>
        <w:ind w:left="1164" w:right="0" w:hanging="946"/>
        <w:jc w:val="left"/>
        <w:rPr>
          <w:sz w:val="21"/>
        </w:rPr>
      </w:pPr>
      <w:r>
        <w:rPr>
          <w:spacing w:val="-1"/>
          <w:w w:val="95"/>
          <w:sz w:val="21"/>
        </w:rPr>
        <w:t>公示方式应采用电子链接标识或清晰展示信息文本的其他形式。</w:t>
      </w:r>
    </w:p>
    <w:p>
      <w:pPr>
        <w:pStyle w:val="ListParagraph"/>
        <w:numPr>
          <w:ilvl w:val="3"/>
          <w:numId w:val="10"/>
        </w:numPr>
        <w:tabs>
          <w:tab w:pos="1164" w:val="left" w:leader="none"/>
        </w:tabs>
        <w:spacing w:line="240" w:lineRule="auto" w:before="43" w:after="0"/>
        <w:ind w:left="1164" w:right="0" w:hanging="946"/>
        <w:jc w:val="left"/>
        <w:rPr>
          <w:sz w:val="21"/>
        </w:rPr>
      </w:pPr>
      <w:r>
        <w:rPr>
          <w:spacing w:val="-10"/>
          <w:w w:val="95"/>
          <w:sz w:val="21"/>
        </w:rPr>
        <w:t>平台应提供技术支持，保障商户能够按照要求有效嵌入并展示上述电子链接标识或信息文本。</w:t>
      </w:r>
    </w:p>
    <w:p>
      <w:pPr>
        <w:pStyle w:val="BodyText"/>
        <w:spacing w:before="6"/>
        <w:rPr>
          <w:sz w:val="15"/>
        </w:rPr>
      </w:pPr>
    </w:p>
    <w:p>
      <w:pPr>
        <w:pStyle w:val="ListParagraph"/>
        <w:numPr>
          <w:ilvl w:val="2"/>
          <w:numId w:val="2"/>
        </w:numPr>
        <w:tabs>
          <w:tab w:pos="953" w:val="left" w:leader="none"/>
        </w:tabs>
        <w:spacing w:line="240" w:lineRule="auto" w:before="1" w:after="0"/>
        <w:ind w:left="952" w:right="0" w:hanging="735"/>
        <w:jc w:val="left"/>
        <w:rPr>
          <w:rFonts w:ascii="黑体" w:eastAsia="黑体"/>
          <w:sz w:val="21"/>
        </w:rPr>
      </w:pPr>
      <w:bookmarkStart w:name="6.4.2　接单控制提示" w:id="55"/>
      <w:bookmarkEnd w:id="55"/>
      <w:r>
        <w:rPr>
          <w:rFonts w:ascii="黑体" w:eastAsia="黑体"/>
          <w:spacing w:val="-2"/>
          <w:w w:val="95"/>
          <w:sz w:val="21"/>
        </w:rPr>
        <w:t>接单控制提示</w:t>
      </w:r>
    </w:p>
    <w:p>
      <w:pPr>
        <w:pStyle w:val="BodyText"/>
        <w:spacing w:before="6"/>
        <w:rPr>
          <w:rFonts w:ascii="黑体"/>
          <w:sz w:val="15"/>
        </w:rPr>
      </w:pPr>
    </w:p>
    <w:p>
      <w:pPr>
        <w:pStyle w:val="ListParagraph"/>
        <w:numPr>
          <w:ilvl w:val="3"/>
          <w:numId w:val="11"/>
        </w:numPr>
        <w:tabs>
          <w:tab w:pos="1164" w:val="left" w:leader="none"/>
        </w:tabs>
        <w:spacing w:line="278" w:lineRule="auto" w:before="0" w:after="0"/>
        <w:ind w:left="218" w:right="412" w:firstLine="0"/>
        <w:jc w:val="left"/>
        <w:rPr>
          <w:sz w:val="21"/>
        </w:rPr>
      </w:pPr>
      <w:r>
        <w:rPr>
          <w:spacing w:val="-1"/>
          <w:w w:val="99"/>
          <w:sz w:val="21"/>
        </w:rPr>
        <w:t>平台可综合考虑商户的服务水平和历史履约数据，在下单高峰时段或促销活动期间，动态评估商户的出餐能力，向商户发出接单控制提示（即爆单预警）</w:t>
      </w:r>
      <w:r>
        <w:rPr>
          <w:w w:val="99"/>
          <w:sz w:val="21"/>
        </w:rPr>
        <w:t>，例如：</w:t>
      </w:r>
    </w:p>
    <w:p>
      <w:pPr>
        <w:pStyle w:val="ListParagraph"/>
        <w:numPr>
          <w:ilvl w:val="4"/>
          <w:numId w:val="11"/>
        </w:numPr>
        <w:tabs>
          <w:tab w:pos="1068" w:val="left" w:leader="none"/>
        </w:tabs>
        <w:spacing w:line="278" w:lineRule="auto" w:before="0" w:after="0"/>
        <w:ind w:left="1068" w:right="415" w:hanging="425"/>
        <w:jc w:val="left"/>
        <w:rPr>
          <w:sz w:val="21"/>
        </w:rPr>
      </w:pPr>
      <w:r>
        <w:rPr>
          <w:spacing w:val="1"/>
          <w:w w:val="99"/>
          <w:sz w:val="21"/>
        </w:rPr>
        <w:t>设置合理的出餐时间：平台可为商户提供综合指标评估下的预计出餐时间供商户参考决定是</w:t>
      </w:r>
      <w:r>
        <w:rPr>
          <w:spacing w:val="-1"/>
          <w:w w:val="99"/>
          <w:sz w:val="21"/>
        </w:rPr>
        <w:t>否继续接单，防止商户因短时间订单过量而导致配送延误；</w:t>
      </w:r>
    </w:p>
    <w:p>
      <w:pPr>
        <w:pStyle w:val="ListParagraph"/>
        <w:numPr>
          <w:ilvl w:val="4"/>
          <w:numId w:val="11"/>
        </w:numPr>
        <w:tabs>
          <w:tab w:pos="1068" w:val="left" w:leader="none"/>
        </w:tabs>
        <w:spacing w:line="278" w:lineRule="auto" w:before="0" w:after="0"/>
        <w:ind w:left="1068" w:right="415" w:hanging="425"/>
        <w:jc w:val="left"/>
        <w:rPr>
          <w:sz w:val="21"/>
        </w:rPr>
      </w:pPr>
      <w:r>
        <w:rPr>
          <w:spacing w:val="1"/>
          <w:w w:val="99"/>
          <w:sz w:val="21"/>
        </w:rPr>
        <w:t>设置及时的爆单预警：平台可根据商户自主设置的阈值或根据算法模型识别，向订单积压趋</w:t>
      </w:r>
      <w:r>
        <w:rPr>
          <w:spacing w:val="-1"/>
          <w:w w:val="99"/>
          <w:sz w:val="21"/>
        </w:rPr>
        <w:t>势明显的商户提供接单控制提示，或采取其他方式缓解商户压力。</w:t>
      </w:r>
    </w:p>
    <w:p>
      <w:pPr>
        <w:pStyle w:val="ListParagraph"/>
        <w:numPr>
          <w:ilvl w:val="3"/>
          <w:numId w:val="11"/>
        </w:numPr>
        <w:tabs>
          <w:tab w:pos="1164" w:val="left" w:leader="none"/>
        </w:tabs>
        <w:spacing w:line="278" w:lineRule="auto" w:before="0" w:after="0"/>
        <w:ind w:left="218" w:right="308" w:firstLine="0"/>
        <w:jc w:val="left"/>
        <w:rPr>
          <w:sz w:val="21"/>
        </w:rPr>
      </w:pPr>
      <w:r>
        <w:rPr>
          <w:spacing w:val="-1"/>
          <w:w w:val="99"/>
          <w:sz w:val="21"/>
        </w:rPr>
        <w:t>平台应向消费者清晰展示商户设定的预计等待时间或基于该时间估算的送达时间范围，鼓励平台在根据</w:t>
      </w:r>
      <w:r>
        <w:rPr>
          <w:spacing w:val="-53"/>
          <w:sz w:val="21"/>
        </w:rPr>
        <w:t> </w:t>
      </w:r>
      <w:r>
        <w:rPr>
          <w:spacing w:val="1"/>
          <w:w w:val="99"/>
          <w:sz w:val="21"/>
        </w:rPr>
        <w:t>6.4</w:t>
      </w:r>
      <w:r>
        <w:rPr>
          <w:spacing w:val="-2"/>
          <w:w w:val="99"/>
          <w:sz w:val="21"/>
        </w:rPr>
        <w:t>.</w:t>
      </w:r>
      <w:r>
        <w:rPr>
          <w:spacing w:val="1"/>
          <w:w w:val="99"/>
          <w:sz w:val="21"/>
        </w:rPr>
        <w:t>2.</w:t>
      </w:r>
      <w:r>
        <w:rPr>
          <w:w w:val="99"/>
          <w:sz w:val="21"/>
        </w:rPr>
        <w:t>1</w:t>
      </w:r>
      <w:r>
        <w:rPr>
          <w:spacing w:val="-54"/>
          <w:sz w:val="21"/>
        </w:rPr>
        <w:t> </w:t>
      </w:r>
      <w:r>
        <w:rPr>
          <w:spacing w:val="-3"/>
          <w:w w:val="99"/>
          <w:sz w:val="21"/>
        </w:rPr>
        <w:t>向商户发出接单控制提示</w:t>
      </w:r>
      <w:r>
        <w:rPr>
          <w:spacing w:val="2"/>
          <w:w w:val="99"/>
          <w:sz w:val="21"/>
        </w:rPr>
        <w:t>（</w:t>
      </w:r>
      <w:r>
        <w:rPr>
          <w:spacing w:val="-1"/>
          <w:w w:val="99"/>
          <w:sz w:val="21"/>
        </w:rPr>
        <w:t>即爆单预警</w:t>
      </w:r>
      <w:r>
        <w:rPr>
          <w:spacing w:val="-15"/>
          <w:w w:val="99"/>
          <w:sz w:val="21"/>
        </w:rPr>
        <w:t>）</w:t>
      </w:r>
      <w:r>
        <w:rPr>
          <w:spacing w:val="-5"/>
          <w:w w:val="99"/>
          <w:sz w:val="21"/>
        </w:rPr>
        <w:t>时，同步提示消费者</w:t>
      </w:r>
      <w:r>
        <w:rPr>
          <w:spacing w:val="2"/>
          <w:w w:val="99"/>
          <w:sz w:val="21"/>
        </w:rPr>
        <w:t>（</w:t>
      </w:r>
      <w:r>
        <w:rPr>
          <w:spacing w:val="-5"/>
          <w:w w:val="99"/>
          <w:sz w:val="21"/>
        </w:rPr>
        <w:t>如“商户繁忙”)，</w:t>
      </w:r>
      <w:r>
        <w:rPr>
          <w:spacing w:val="-1"/>
          <w:w w:val="99"/>
          <w:sz w:val="21"/>
        </w:rPr>
        <w:t>保障消费者知情权。</w:t>
      </w:r>
    </w:p>
    <w:p>
      <w:pPr>
        <w:pStyle w:val="ListParagraph"/>
        <w:numPr>
          <w:ilvl w:val="2"/>
          <w:numId w:val="2"/>
        </w:numPr>
        <w:tabs>
          <w:tab w:pos="953" w:val="left" w:leader="none"/>
        </w:tabs>
        <w:spacing w:line="240" w:lineRule="auto" w:before="155" w:after="0"/>
        <w:ind w:left="952" w:right="0" w:hanging="735"/>
        <w:jc w:val="left"/>
        <w:rPr>
          <w:rFonts w:ascii="黑体" w:eastAsia="黑体"/>
          <w:sz w:val="21"/>
        </w:rPr>
      </w:pPr>
      <w:bookmarkStart w:name="6.4.3　违规申诉" w:id="56"/>
      <w:bookmarkEnd w:id="56"/>
      <w:r>
        <w:rPr>
          <w:rFonts w:ascii="黑体" w:eastAsia="黑体"/>
          <w:spacing w:val="-3"/>
          <w:w w:val="95"/>
          <w:sz w:val="21"/>
        </w:rPr>
        <w:t>违规申诉</w:t>
      </w:r>
    </w:p>
    <w:p>
      <w:pPr>
        <w:pStyle w:val="BodyText"/>
        <w:spacing w:before="7"/>
        <w:rPr>
          <w:rFonts w:ascii="黑体"/>
          <w:sz w:val="15"/>
        </w:rPr>
      </w:pPr>
    </w:p>
    <w:p>
      <w:pPr>
        <w:pStyle w:val="ListParagraph"/>
        <w:numPr>
          <w:ilvl w:val="3"/>
          <w:numId w:val="12"/>
        </w:numPr>
        <w:tabs>
          <w:tab w:pos="1164" w:val="left" w:leader="none"/>
        </w:tabs>
        <w:spacing w:line="278" w:lineRule="auto" w:before="0" w:after="0"/>
        <w:ind w:left="218" w:right="412" w:firstLine="0"/>
        <w:jc w:val="left"/>
        <w:rPr>
          <w:sz w:val="21"/>
        </w:rPr>
      </w:pPr>
      <w:r>
        <w:rPr>
          <w:spacing w:val="-1"/>
          <w:w w:val="99"/>
          <w:sz w:val="21"/>
        </w:rPr>
        <w:t>外卖平台依据法律法规、平台规则等对商户进行管理时，如商户认为外卖平台对其违规处理措施不合理，商户可在收到违规处理之日起</w:t>
      </w:r>
      <w:r>
        <w:rPr>
          <w:spacing w:val="-53"/>
          <w:sz w:val="21"/>
        </w:rPr>
        <w:t> </w:t>
      </w:r>
      <w:r>
        <w:rPr>
          <w:w w:val="99"/>
          <w:sz w:val="21"/>
        </w:rPr>
        <w:t>7</w:t>
      </w:r>
      <w:r>
        <w:rPr>
          <w:spacing w:val="-52"/>
          <w:sz w:val="21"/>
        </w:rPr>
        <w:t> </w:t>
      </w:r>
      <w:r>
        <w:rPr>
          <w:spacing w:val="-1"/>
          <w:w w:val="99"/>
          <w:sz w:val="21"/>
        </w:rPr>
        <w:t>日内向平台提起违规申诉。</w:t>
      </w:r>
    </w:p>
    <w:p>
      <w:pPr>
        <w:pStyle w:val="ListParagraph"/>
        <w:numPr>
          <w:ilvl w:val="3"/>
          <w:numId w:val="12"/>
        </w:numPr>
        <w:tabs>
          <w:tab w:pos="1164" w:val="left" w:leader="none"/>
        </w:tabs>
        <w:spacing w:line="269" w:lineRule="exact" w:before="0" w:after="0"/>
        <w:ind w:left="1164" w:right="0" w:hanging="946"/>
        <w:jc w:val="left"/>
        <w:rPr>
          <w:sz w:val="21"/>
        </w:rPr>
      </w:pPr>
      <w:r>
        <w:rPr>
          <w:w w:val="95"/>
          <w:sz w:val="21"/>
        </w:rPr>
        <w:t>平台收到商户申诉后应及时应商户要求在</w:t>
      </w:r>
      <w:r>
        <w:rPr>
          <w:spacing w:val="19"/>
          <w:sz w:val="21"/>
        </w:rPr>
        <w:t> </w:t>
      </w:r>
      <w:r>
        <w:rPr>
          <w:w w:val="95"/>
          <w:sz w:val="21"/>
        </w:rPr>
        <w:t>3h</w:t>
      </w:r>
      <w:r>
        <w:rPr>
          <w:spacing w:val="23"/>
          <w:sz w:val="21"/>
        </w:rPr>
        <w:t> </w:t>
      </w:r>
      <w:r>
        <w:rPr>
          <w:w w:val="95"/>
          <w:sz w:val="21"/>
        </w:rPr>
        <w:t>内提供响应，并于</w:t>
      </w:r>
      <w:r>
        <w:rPr>
          <w:spacing w:val="20"/>
          <w:sz w:val="21"/>
        </w:rPr>
        <w:t> </w:t>
      </w:r>
      <w:r>
        <w:rPr>
          <w:w w:val="95"/>
          <w:sz w:val="21"/>
        </w:rPr>
        <w:t>4</w:t>
      </w:r>
      <w:r>
        <w:rPr>
          <w:spacing w:val="22"/>
          <w:sz w:val="21"/>
        </w:rPr>
        <w:t> </w:t>
      </w:r>
      <w:r>
        <w:rPr>
          <w:spacing w:val="-2"/>
          <w:w w:val="95"/>
          <w:sz w:val="21"/>
        </w:rPr>
        <w:t>日内完成复核。</w:t>
      </w:r>
    </w:p>
    <w:p>
      <w:pPr>
        <w:pStyle w:val="ListParagraph"/>
        <w:numPr>
          <w:ilvl w:val="3"/>
          <w:numId w:val="12"/>
        </w:numPr>
        <w:tabs>
          <w:tab w:pos="1164" w:val="left" w:leader="none"/>
        </w:tabs>
        <w:spacing w:line="278" w:lineRule="auto" w:before="43" w:after="0"/>
        <w:ind w:left="218" w:right="412" w:firstLine="0"/>
        <w:jc w:val="left"/>
        <w:rPr>
          <w:sz w:val="21"/>
        </w:rPr>
      </w:pPr>
      <w:r>
        <w:rPr>
          <w:spacing w:val="-1"/>
          <w:w w:val="99"/>
          <w:sz w:val="21"/>
        </w:rPr>
        <w:t>商户申诉时应按照要求提供完整、真实、有效的证明材料，包括但不限于：聊天记录、截图链接、视频、照片、录音、快递单凭证、报案回执等。</w:t>
      </w:r>
    </w:p>
    <w:p>
      <w:pPr>
        <w:pStyle w:val="ListParagraph"/>
        <w:numPr>
          <w:ilvl w:val="3"/>
          <w:numId w:val="12"/>
        </w:numPr>
        <w:tabs>
          <w:tab w:pos="1164" w:val="left" w:leader="none"/>
        </w:tabs>
        <w:spacing w:line="269" w:lineRule="exact" w:before="0" w:after="0"/>
        <w:ind w:left="1164" w:right="0" w:hanging="946"/>
        <w:jc w:val="left"/>
        <w:rPr>
          <w:sz w:val="21"/>
        </w:rPr>
      </w:pPr>
      <w:r>
        <w:rPr>
          <w:w w:val="95"/>
          <w:sz w:val="21"/>
        </w:rPr>
        <w:t>平台应保留商户申诉、平台回复等记录，信息留存时间应不</w:t>
      </w:r>
      <w:r>
        <w:rPr>
          <w:w w:val="95"/>
          <w:sz w:val="21"/>
        </w:rPr>
        <w:t>少</w:t>
      </w:r>
      <w:r>
        <w:rPr>
          <w:w w:val="95"/>
          <w:sz w:val="21"/>
        </w:rPr>
        <w:t>于</w:t>
      </w:r>
      <w:r>
        <w:rPr>
          <w:spacing w:val="75"/>
          <w:sz w:val="21"/>
        </w:rPr>
        <w:t> </w:t>
      </w:r>
      <w:r>
        <w:rPr>
          <w:w w:val="95"/>
          <w:sz w:val="21"/>
        </w:rPr>
        <w:t>1</w:t>
      </w:r>
      <w:r>
        <w:rPr>
          <w:spacing w:val="79"/>
          <w:sz w:val="21"/>
        </w:rPr>
        <w:t> </w:t>
      </w:r>
      <w:r>
        <w:rPr>
          <w:spacing w:val="-5"/>
          <w:w w:val="95"/>
          <w:sz w:val="21"/>
        </w:rPr>
        <w:t>年。</w:t>
      </w:r>
    </w:p>
    <w:p>
      <w:pPr>
        <w:pStyle w:val="BodyText"/>
        <w:spacing w:before="9"/>
        <w:rPr>
          <w:sz w:val="27"/>
        </w:rPr>
      </w:pPr>
    </w:p>
    <w:p>
      <w:pPr>
        <w:pStyle w:val="ListParagraph"/>
        <w:numPr>
          <w:ilvl w:val="0"/>
          <w:numId w:val="2"/>
        </w:numPr>
        <w:tabs>
          <w:tab w:pos="533" w:val="left" w:leader="none"/>
        </w:tabs>
        <w:spacing w:line="240" w:lineRule="auto" w:before="0" w:after="0"/>
        <w:ind w:left="532" w:right="0" w:hanging="315"/>
        <w:jc w:val="left"/>
        <w:rPr>
          <w:rFonts w:ascii="黑体" w:eastAsia="黑体"/>
          <w:sz w:val="21"/>
        </w:rPr>
      </w:pPr>
      <w:bookmarkStart w:name="7　配送员权益保障" w:id="57"/>
      <w:bookmarkEnd w:id="57"/>
      <w:r>
        <w:rPr/>
      </w:r>
      <w:bookmarkStart w:name="_bookmark13" w:id="58"/>
      <w:bookmarkEnd w:id="58"/>
      <w:r>
        <w:rPr>
          <w:rFonts w:ascii="黑体" w:eastAsia="黑体"/>
          <w:spacing w:val="-2"/>
          <w:w w:val="95"/>
          <w:sz w:val="21"/>
        </w:rPr>
        <w:t>配送员权益保障</w:t>
      </w:r>
    </w:p>
    <w:p>
      <w:pPr>
        <w:pStyle w:val="BodyText"/>
        <w:spacing w:before="7"/>
        <w:rPr>
          <w:rFonts w:ascii="黑体"/>
          <w:sz w:val="29"/>
        </w:rPr>
      </w:pPr>
    </w:p>
    <w:p>
      <w:pPr>
        <w:pStyle w:val="ListParagraph"/>
        <w:numPr>
          <w:ilvl w:val="1"/>
          <w:numId w:val="2"/>
        </w:numPr>
        <w:tabs>
          <w:tab w:pos="744" w:val="left" w:leader="none"/>
        </w:tabs>
        <w:spacing w:line="240" w:lineRule="auto" w:before="0" w:after="0"/>
        <w:ind w:left="744" w:right="0" w:hanging="526"/>
        <w:jc w:val="left"/>
        <w:rPr>
          <w:rFonts w:ascii="黑体" w:eastAsia="黑体"/>
          <w:sz w:val="21"/>
        </w:rPr>
      </w:pPr>
      <w:bookmarkStart w:name="7.1　总则" w:id="59"/>
      <w:bookmarkEnd w:id="59"/>
      <w:r>
        <w:rPr/>
      </w:r>
      <w:bookmarkStart w:name="_bookmark14" w:id="60"/>
      <w:bookmarkEnd w:id="60"/>
      <w:r>
        <w:rPr>
          <w:rFonts w:ascii="黑体" w:eastAsia="黑体"/>
          <w:w w:val="95"/>
          <w:sz w:val="21"/>
        </w:rPr>
        <w:t>总</w:t>
      </w:r>
      <w:r>
        <w:rPr>
          <w:rFonts w:ascii="黑体" w:eastAsia="黑体"/>
          <w:spacing w:val="-10"/>
          <w:sz w:val="21"/>
        </w:rPr>
        <w:t>则</w:t>
      </w:r>
    </w:p>
    <w:p>
      <w:pPr>
        <w:pStyle w:val="BodyText"/>
        <w:spacing w:before="3"/>
        <w:rPr>
          <w:rFonts w:ascii="黑体"/>
          <w:sz w:val="17"/>
        </w:rPr>
      </w:pPr>
    </w:p>
    <w:p>
      <w:pPr>
        <w:pStyle w:val="ListParagraph"/>
        <w:numPr>
          <w:ilvl w:val="2"/>
          <w:numId w:val="2"/>
        </w:numPr>
        <w:tabs>
          <w:tab w:pos="953" w:val="left" w:leader="none"/>
        </w:tabs>
        <w:spacing w:line="278" w:lineRule="auto" w:before="0" w:after="0"/>
        <w:ind w:left="218" w:right="412" w:firstLine="0"/>
        <w:jc w:val="left"/>
        <w:rPr>
          <w:sz w:val="21"/>
        </w:rPr>
      </w:pPr>
      <w:r>
        <w:rPr>
          <w:spacing w:val="-3"/>
          <w:w w:val="99"/>
          <w:sz w:val="21"/>
        </w:rPr>
        <w:t>平台和用工合作企业应对配送员基本准入条件</w:t>
      </w:r>
      <w:r>
        <w:rPr>
          <w:spacing w:val="-1"/>
          <w:w w:val="99"/>
          <w:sz w:val="21"/>
        </w:rPr>
        <w:t>（</w:t>
      </w:r>
      <w:r>
        <w:rPr>
          <w:w w:val="99"/>
          <w:sz w:val="21"/>
        </w:rPr>
        <w:t>如年满</w:t>
      </w:r>
      <w:r>
        <w:rPr>
          <w:spacing w:val="-53"/>
          <w:sz w:val="21"/>
        </w:rPr>
        <w:t> </w:t>
      </w:r>
      <w:r>
        <w:rPr>
          <w:spacing w:val="1"/>
          <w:w w:val="99"/>
          <w:sz w:val="21"/>
        </w:rPr>
        <w:t>1</w:t>
      </w:r>
      <w:r>
        <w:rPr>
          <w:w w:val="99"/>
          <w:sz w:val="21"/>
        </w:rPr>
        <w:t>8</w:t>
      </w:r>
      <w:r>
        <w:rPr>
          <w:spacing w:val="-52"/>
          <w:sz w:val="21"/>
        </w:rPr>
        <w:t> </w:t>
      </w:r>
      <w:r>
        <w:rPr>
          <w:spacing w:val="-5"/>
          <w:w w:val="99"/>
          <w:sz w:val="21"/>
        </w:rPr>
        <w:t>周岁；依法依规持有健康证</w:t>
      </w:r>
      <w:r>
        <w:rPr>
          <w:spacing w:val="-32"/>
          <w:w w:val="99"/>
          <w:sz w:val="21"/>
        </w:rPr>
        <w:t>）</w:t>
      </w:r>
      <w:r>
        <w:rPr>
          <w:w w:val="99"/>
          <w:sz w:val="21"/>
        </w:rPr>
        <w:t>进行审</w:t>
      </w:r>
      <w:r>
        <w:rPr>
          <w:spacing w:val="-1"/>
          <w:w w:val="99"/>
          <w:sz w:val="21"/>
        </w:rPr>
        <w:t>核，应当遵守法律法规的规定，不得设置歧视性条件。</w:t>
      </w:r>
    </w:p>
    <w:p>
      <w:pPr>
        <w:pStyle w:val="ListParagraph"/>
        <w:numPr>
          <w:ilvl w:val="2"/>
          <w:numId w:val="2"/>
        </w:numPr>
        <w:tabs>
          <w:tab w:pos="953" w:val="left" w:leader="none"/>
        </w:tabs>
        <w:spacing w:line="269" w:lineRule="exact" w:before="0" w:after="0"/>
        <w:ind w:left="952" w:right="0" w:hanging="735"/>
        <w:jc w:val="left"/>
        <w:rPr>
          <w:sz w:val="21"/>
        </w:rPr>
      </w:pPr>
      <w:r>
        <w:rPr>
          <w:spacing w:val="-1"/>
          <w:w w:val="95"/>
          <w:sz w:val="21"/>
        </w:rPr>
        <w:t>平台或用工合作企业应对配送员的劳动工具的安全和合规状态进行检查。</w:t>
      </w:r>
    </w:p>
    <w:p>
      <w:pPr>
        <w:pStyle w:val="ListParagraph"/>
        <w:numPr>
          <w:ilvl w:val="2"/>
          <w:numId w:val="2"/>
        </w:numPr>
        <w:tabs>
          <w:tab w:pos="953" w:val="left" w:leader="none"/>
        </w:tabs>
        <w:spacing w:line="240" w:lineRule="auto" w:before="43" w:after="0"/>
        <w:ind w:left="952" w:right="0" w:hanging="735"/>
        <w:jc w:val="left"/>
        <w:rPr>
          <w:sz w:val="21"/>
        </w:rPr>
      </w:pPr>
      <w:r>
        <w:rPr>
          <w:spacing w:val="-1"/>
          <w:w w:val="95"/>
          <w:sz w:val="21"/>
        </w:rPr>
        <w:t>平台和用工合作企业应对配送员进行安全生产、食品安全和职业卫生等方面的教育培训。</w:t>
      </w:r>
    </w:p>
    <w:p>
      <w:pPr>
        <w:pStyle w:val="ListParagraph"/>
        <w:numPr>
          <w:ilvl w:val="2"/>
          <w:numId w:val="2"/>
        </w:numPr>
        <w:tabs>
          <w:tab w:pos="953" w:val="left" w:leader="none"/>
        </w:tabs>
        <w:spacing w:line="240" w:lineRule="auto" w:before="43" w:after="0"/>
        <w:ind w:left="952" w:right="0" w:hanging="735"/>
        <w:jc w:val="left"/>
        <w:rPr>
          <w:sz w:val="21"/>
        </w:rPr>
      </w:pPr>
      <w:r>
        <w:rPr>
          <w:spacing w:val="-1"/>
          <w:w w:val="95"/>
          <w:sz w:val="21"/>
        </w:rPr>
        <w:t>采取直接用工方式的，平台应：</w:t>
      </w:r>
    </w:p>
    <w:p>
      <w:pPr>
        <w:pStyle w:val="ListParagraph"/>
        <w:numPr>
          <w:ilvl w:val="3"/>
          <w:numId w:val="2"/>
        </w:numPr>
        <w:tabs>
          <w:tab w:pos="1068" w:val="left" w:leader="none"/>
        </w:tabs>
        <w:spacing w:line="240" w:lineRule="auto" w:before="43" w:after="0"/>
        <w:ind w:left="1068" w:right="0" w:hanging="425"/>
        <w:jc w:val="left"/>
        <w:rPr>
          <w:sz w:val="21"/>
        </w:rPr>
      </w:pPr>
      <w:r>
        <w:rPr>
          <w:spacing w:val="-1"/>
          <w:w w:val="95"/>
          <w:sz w:val="21"/>
        </w:rPr>
        <w:t>依法合规用工，保障配送员劳动权益；</w:t>
      </w:r>
    </w:p>
    <w:p>
      <w:pPr>
        <w:pStyle w:val="ListParagraph"/>
        <w:numPr>
          <w:ilvl w:val="3"/>
          <w:numId w:val="2"/>
        </w:numPr>
        <w:tabs>
          <w:tab w:pos="1068" w:val="left" w:leader="none"/>
        </w:tabs>
        <w:spacing w:line="240" w:lineRule="auto" w:before="43" w:after="0"/>
        <w:ind w:left="1068" w:right="0" w:hanging="425"/>
        <w:jc w:val="left"/>
        <w:rPr>
          <w:sz w:val="21"/>
        </w:rPr>
      </w:pPr>
      <w:r>
        <w:rPr>
          <w:spacing w:val="-1"/>
          <w:w w:val="95"/>
          <w:sz w:val="21"/>
        </w:rPr>
        <w:t>符合劳动关系认定情形的，应与配送员签订劳动合同；</w:t>
      </w:r>
    </w:p>
    <w:p>
      <w:pPr>
        <w:pStyle w:val="ListParagraph"/>
        <w:numPr>
          <w:ilvl w:val="3"/>
          <w:numId w:val="2"/>
        </w:numPr>
        <w:tabs>
          <w:tab w:pos="1068" w:val="left" w:leader="none"/>
        </w:tabs>
        <w:spacing w:line="278" w:lineRule="auto" w:before="43" w:after="0"/>
        <w:ind w:left="1068" w:right="415" w:hanging="425"/>
        <w:jc w:val="left"/>
        <w:rPr>
          <w:sz w:val="21"/>
        </w:rPr>
      </w:pPr>
      <w:r>
        <w:rPr>
          <w:spacing w:val="1"/>
          <w:w w:val="99"/>
          <w:sz w:val="21"/>
        </w:rPr>
        <w:t>制定的涉及配送员利益的管理规则在发布及修改时，应公示征求意见，充分听取工会或配送</w:t>
      </w:r>
      <w:r>
        <w:rPr>
          <w:spacing w:val="-1"/>
          <w:w w:val="99"/>
          <w:sz w:val="21"/>
        </w:rPr>
        <w:t>员代表意见。</w:t>
      </w:r>
    </w:p>
    <w:p>
      <w:pPr>
        <w:pStyle w:val="ListParagraph"/>
        <w:numPr>
          <w:ilvl w:val="2"/>
          <w:numId w:val="2"/>
        </w:numPr>
        <w:tabs>
          <w:tab w:pos="953" w:val="left" w:leader="none"/>
        </w:tabs>
        <w:spacing w:line="269" w:lineRule="exact" w:before="0" w:after="0"/>
        <w:ind w:left="952" w:right="0" w:hanging="735"/>
        <w:jc w:val="left"/>
        <w:rPr>
          <w:sz w:val="21"/>
        </w:rPr>
      </w:pPr>
      <w:r>
        <w:rPr>
          <w:spacing w:val="-1"/>
          <w:w w:val="95"/>
          <w:sz w:val="21"/>
        </w:rPr>
        <w:t>采取合作用工方式的，平台应：</w:t>
      </w:r>
    </w:p>
    <w:p>
      <w:pPr>
        <w:pStyle w:val="ListParagraph"/>
        <w:numPr>
          <w:ilvl w:val="3"/>
          <w:numId w:val="2"/>
        </w:numPr>
        <w:tabs>
          <w:tab w:pos="1068" w:val="left" w:leader="none"/>
        </w:tabs>
        <w:spacing w:line="240" w:lineRule="auto" w:before="43" w:after="0"/>
        <w:ind w:left="1068" w:right="0" w:hanging="425"/>
        <w:jc w:val="left"/>
        <w:rPr>
          <w:sz w:val="21"/>
        </w:rPr>
      </w:pPr>
      <w:r>
        <w:rPr>
          <w:spacing w:val="-1"/>
          <w:w w:val="95"/>
          <w:sz w:val="21"/>
        </w:rPr>
        <w:t>选择具备合法经营资质的用工合作企业；</w:t>
      </w:r>
    </w:p>
    <w:p>
      <w:pPr>
        <w:pStyle w:val="ListParagraph"/>
        <w:numPr>
          <w:ilvl w:val="3"/>
          <w:numId w:val="2"/>
        </w:numPr>
        <w:tabs>
          <w:tab w:pos="1068" w:val="left" w:leader="none"/>
        </w:tabs>
        <w:spacing w:line="278" w:lineRule="auto" w:before="43" w:after="0"/>
        <w:ind w:left="1068" w:right="415" w:hanging="425"/>
        <w:jc w:val="left"/>
        <w:rPr>
          <w:sz w:val="21"/>
        </w:rPr>
      </w:pPr>
      <w:r>
        <w:rPr>
          <w:spacing w:val="1"/>
          <w:w w:val="99"/>
          <w:sz w:val="21"/>
        </w:rPr>
        <w:t>督促用工合作企业依法合规用工，尤其是对于符合认定劳动关系情形的，督促用工合作企业</w:t>
      </w:r>
      <w:r>
        <w:rPr>
          <w:spacing w:val="-1"/>
          <w:w w:val="99"/>
          <w:sz w:val="21"/>
        </w:rPr>
        <w:t>与配送员签订劳动合同；</w:t>
      </w:r>
    </w:p>
    <w:p>
      <w:pPr>
        <w:spacing w:after="0" w:line="278" w:lineRule="auto"/>
        <w:jc w:val="left"/>
        <w:rPr>
          <w:sz w:val="21"/>
        </w:rPr>
        <w:sectPr>
          <w:pgSz w:w="11910" w:h="16840"/>
          <w:pgMar w:header="1449" w:footer="1141" w:top="1640" w:bottom="1340" w:left="1200" w:right="720"/>
        </w:sectPr>
      </w:pPr>
    </w:p>
    <w:p>
      <w:pPr>
        <w:pStyle w:val="BodyText"/>
        <w:spacing w:before="3"/>
        <w:rPr>
          <w:sz w:val="17"/>
        </w:rPr>
      </w:pPr>
    </w:p>
    <w:p>
      <w:pPr>
        <w:pStyle w:val="ListParagraph"/>
        <w:numPr>
          <w:ilvl w:val="3"/>
          <w:numId w:val="2"/>
        </w:numPr>
        <w:tabs>
          <w:tab w:pos="1068" w:val="left" w:leader="none"/>
        </w:tabs>
        <w:spacing w:line="278" w:lineRule="auto" w:before="70" w:after="0"/>
        <w:ind w:left="1068" w:right="412" w:hanging="425"/>
        <w:jc w:val="both"/>
        <w:rPr>
          <w:sz w:val="21"/>
        </w:rPr>
      </w:pPr>
      <w:r>
        <w:rPr>
          <w:spacing w:val="1"/>
          <w:w w:val="99"/>
          <w:sz w:val="21"/>
        </w:rPr>
        <w:t>要求用工合作企业参照平台相关规定管理配送员；由用工合作企业制定的涉及配送员重大利益的管理规则在发布及条款发生变化时，应公示征求意见，充分听取平台、工会或配送员代</w:t>
      </w:r>
      <w:r>
        <w:rPr>
          <w:spacing w:val="-1"/>
          <w:w w:val="99"/>
          <w:sz w:val="21"/>
        </w:rPr>
        <w:t>表意见。</w:t>
      </w:r>
    </w:p>
    <w:p>
      <w:pPr>
        <w:pStyle w:val="ListParagraph"/>
        <w:numPr>
          <w:ilvl w:val="2"/>
          <w:numId w:val="2"/>
        </w:numPr>
        <w:tabs>
          <w:tab w:pos="953" w:val="left" w:leader="none"/>
        </w:tabs>
        <w:spacing w:line="278" w:lineRule="auto" w:before="0" w:after="0"/>
        <w:ind w:left="218" w:right="412" w:firstLine="0"/>
        <w:jc w:val="both"/>
        <w:rPr>
          <w:sz w:val="21"/>
        </w:rPr>
      </w:pPr>
      <w:r>
        <w:rPr>
          <w:spacing w:val="-1"/>
          <w:w w:val="99"/>
          <w:sz w:val="21"/>
        </w:rPr>
        <w:t>用工合作企业的经营管理出现重大风险、重大事故时，平台应依法依规以及依据平台相关协议规则终止与该用工合作企业的相关合作，并协助妥善解决配送员权益保障相关事宜。</w:t>
      </w:r>
    </w:p>
    <w:p>
      <w:pPr>
        <w:pStyle w:val="ListParagraph"/>
        <w:numPr>
          <w:ilvl w:val="2"/>
          <w:numId w:val="2"/>
        </w:numPr>
        <w:tabs>
          <w:tab w:pos="953" w:val="left" w:leader="none"/>
        </w:tabs>
        <w:spacing w:line="278" w:lineRule="auto" w:before="0" w:after="0"/>
        <w:ind w:left="218" w:right="412" w:firstLine="0"/>
        <w:jc w:val="both"/>
        <w:rPr>
          <w:sz w:val="21"/>
        </w:rPr>
      </w:pPr>
      <w:r>
        <w:rPr>
          <w:spacing w:val="-1"/>
          <w:w w:val="99"/>
          <w:sz w:val="21"/>
        </w:rPr>
        <w:t>出于安全考虑，平台、用工合作企业可以合理引导配送员购买合规换电服务，但不应强制或变</w:t>
      </w:r>
      <w:r>
        <w:rPr>
          <w:spacing w:val="-7"/>
          <w:w w:val="99"/>
          <w:sz w:val="21"/>
        </w:rPr>
        <w:t>相强制配送员购买特定品牌的换电服务；另外，平台、用工合作企业不应强制或变相强制配送员购买各</w:t>
      </w:r>
      <w:r>
        <w:rPr>
          <w:spacing w:val="-1"/>
          <w:w w:val="99"/>
          <w:sz w:val="21"/>
        </w:rPr>
        <w:t>类增值服务。</w:t>
      </w:r>
    </w:p>
    <w:p>
      <w:pPr>
        <w:pStyle w:val="ListParagraph"/>
        <w:numPr>
          <w:ilvl w:val="2"/>
          <w:numId w:val="2"/>
        </w:numPr>
        <w:tabs>
          <w:tab w:pos="953" w:val="left" w:leader="none"/>
        </w:tabs>
        <w:spacing w:line="269" w:lineRule="exact" w:before="0" w:after="0"/>
        <w:ind w:left="952" w:right="0" w:hanging="735"/>
        <w:jc w:val="both"/>
        <w:rPr>
          <w:sz w:val="21"/>
        </w:rPr>
      </w:pPr>
      <w:r>
        <w:rPr>
          <w:spacing w:val="-1"/>
          <w:w w:val="95"/>
          <w:sz w:val="21"/>
        </w:rPr>
        <w:t>配送员应按照平台制定的配送服务要求，在保障人身安全前提下，开展配送工作。</w:t>
      </w:r>
    </w:p>
    <w:p>
      <w:pPr>
        <w:pStyle w:val="ListParagraph"/>
        <w:numPr>
          <w:ilvl w:val="2"/>
          <w:numId w:val="2"/>
        </w:numPr>
        <w:tabs>
          <w:tab w:pos="953" w:val="left" w:leader="none"/>
        </w:tabs>
        <w:spacing w:line="240" w:lineRule="auto" w:before="42" w:after="0"/>
        <w:ind w:left="952" w:right="0" w:hanging="735"/>
        <w:jc w:val="both"/>
        <w:rPr>
          <w:sz w:val="21"/>
        </w:rPr>
      </w:pPr>
      <w:r>
        <w:rPr>
          <w:spacing w:val="-1"/>
          <w:w w:val="95"/>
          <w:sz w:val="21"/>
        </w:rPr>
        <w:t>平台应在商品搜索、展示、交易等页面清楚标注配送属性信息，如自配送、平台配送等。</w:t>
      </w:r>
    </w:p>
    <w:p>
      <w:pPr>
        <w:pStyle w:val="BodyText"/>
        <w:spacing w:before="5"/>
        <w:rPr>
          <w:sz w:val="17"/>
        </w:rPr>
      </w:pPr>
    </w:p>
    <w:p>
      <w:pPr>
        <w:pStyle w:val="ListParagraph"/>
        <w:numPr>
          <w:ilvl w:val="1"/>
          <w:numId w:val="2"/>
        </w:numPr>
        <w:tabs>
          <w:tab w:pos="744" w:val="left" w:leader="none"/>
        </w:tabs>
        <w:spacing w:line="240" w:lineRule="auto" w:before="0" w:after="0"/>
        <w:ind w:left="744" w:right="0" w:hanging="526"/>
        <w:jc w:val="left"/>
        <w:rPr>
          <w:rFonts w:ascii="黑体" w:eastAsia="黑体"/>
          <w:sz w:val="21"/>
        </w:rPr>
      </w:pPr>
      <w:bookmarkStart w:name="7.2　社会保障" w:id="61"/>
      <w:bookmarkEnd w:id="61"/>
      <w:r>
        <w:rPr/>
      </w:r>
      <w:bookmarkStart w:name="_bookmark15" w:id="62"/>
      <w:bookmarkEnd w:id="62"/>
      <w:r>
        <w:rPr>
          <w:rFonts w:ascii="黑体" w:eastAsia="黑体"/>
          <w:spacing w:val="-3"/>
          <w:w w:val="95"/>
          <w:sz w:val="21"/>
        </w:rPr>
        <w:t>社会保障</w:t>
      </w:r>
    </w:p>
    <w:p>
      <w:pPr>
        <w:pStyle w:val="BodyText"/>
        <w:spacing w:before="3"/>
        <w:rPr>
          <w:rFonts w:ascii="黑体"/>
          <w:sz w:val="17"/>
        </w:rPr>
      </w:pPr>
    </w:p>
    <w:p>
      <w:pPr>
        <w:pStyle w:val="ListParagraph"/>
        <w:numPr>
          <w:ilvl w:val="2"/>
          <w:numId w:val="2"/>
        </w:numPr>
        <w:tabs>
          <w:tab w:pos="953" w:val="left" w:leader="none"/>
        </w:tabs>
        <w:spacing w:line="278" w:lineRule="auto" w:before="0" w:after="0"/>
        <w:ind w:left="218" w:right="415" w:firstLine="0"/>
        <w:jc w:val="left"/>
        <w:rPr>
          <w:sz w:val="21"/>
        </w:rPr>
      </w:pPr>
      <w:r>
        <w:rPr>
          <w:spacing w:val="-1"/>
          <w:w w:val="99"/>
          <w:sz w:val="21"/>
        </w:rPr>
        <w:t>配送员与平台、用工合作企业符合确立劳动关系情形的，用人单位应当按照法律规定按时足额为其缴纳社会保险费。</w:t>
      </w:r>
    </w:p>
    <w:p>
      <w:pPr>
        <w:pStyle w:val="ListParagraph"/>
        <w:numPr>
          <w:ilvl w:val="2"/>
          <w:numId w:val="2"/>
        </w:numPr>
        <w:tabs>
          <w:tab w:pos="953" w:val="left" w:leader="none"/>
        </w:tabs>
        <w:spacing w:line="269" w:lineRule="exact" w:before="0" w:after="0"/>
        <w:ind w:left="952" w:right="0" w:hanging="735"/>
        <w:jc w:val="left"/>
        <w:rPr>
          <w:sz w:val="21"/>
        </w:rPr>
      </w:pPr>
      <w:r>
        <w:rPr>
          <w:spacing w:val="-1"/>
          <w:w w:val="95"/>
          <w:sz w:val="21"/>
        </w:rPr>
        <w:t>对于不符合确立劳动关系情形的配送员：</w:t>
      </w:r>
    </w:p>
    <w:p>
      <w:pPr>
        <w:pStyle w:val="ListParagraph"/>
        <w:numPr>
          <w:ilvl w:val="3"/>
          <w:numId w:val="2"/>
        </w:numPr>
        <w:tabs>
          <w:tab w:pos="1068" w:val="left" w:leader="none"/>
        </w:tabs>
        <w:spacing w:line="240" w:lineRule="auto" w:before="43" w:after="0"/>
        <w:ind w:left="1068" w:right="0" w:hanging="425"/>
        <w:jc w:val="left"/>
        <w:rPr>
          <w:sz w:val="21"/>
        </w:rPr>
      </w:pPr>
      <w:r>
        <w:rPr>
          <w:spacing w:val="-1"/>
          <w:w w:val="95"/>
          <w:sz w:val="21"/>
        </w:rPr>
        <w:t>已纳入职业伤害保障试点的平台应为配送员缴纳职业伤害保障费，实现每单必保、每人必保；</w:t>
      </w:r>
    </w:p>
    <w:p>
      <w:pPr>
        <w:pStyle w:val="ListParagraph"/>
        <w:numPr>
          <w:ilvl w:val="3"/>
          <w:numId w:val="2"/>
        </w:numPr>
        <w:tabs>
          <w:tab w:pos="1068" w:val="left" w:leader="none"/>
        </w:tabs>
        <w:spacing w:line="240" w:lineRule="auto" w:before="43" w:after="0"/>
        <w:ind w:left="1068" w:right="0" w:hanging="425"/>
        <w:jc w:val="left"/>
        <w:rPr>
          <w:sz w:val="21"/>
        </w:rPr>
      </w:pPr>
      <w:r>
        <w:rPr>
          <w:spacing w:val="-1"/>
          <w:w w:val="95"/>
          <w:sz w:val="21"/>
        </w:rPr>
        <w:t>平台、用工合作企业应向配送员宣传养老保险政策，支持鼓励配送员参加养老保险制度。</w:t>
      </w:r>
    </w:p>
    <w:p>
      <w:pPr>
        <w:pStyle w:val="ListParagraph"/>
        <w:numPr>
          <w:ilvl w:val="2"/>
          <w:numId w:val="2"/>
        </w:numPr>
        <w:tabs>
          <w:tab w:pos="953" w:val="left" w:leader="none"/>
        </w:tabs>
        <w:spacing w:line="240" w:lineRule="auto" w:before="67" w:after="0"/>
        <w:ind w:left="952" w:right="0" w:hanging="735"/>
        <w:jc w:val="left"/>
        <w:rPr>
          <w:sz w:val="21"/>
        </w:rPr>
      </w:pPr>
      <w:r>
        <w:rPr>
          <w:spacing w:val="-1"/>
          <w:w w:val="95"/>
          <w:sz w:val="21"/>
        </w:rPr>
        <w:t>平台、用工合作企业宜为配送员购买补充商业保险等多样化商业保险保障。</w:t>
      </w:r>
    </w:p>
    <w:p>
      <w:pPr>
        <w:pStyle w:val="BodyText"/>
        <w:spacing w:before="1"/>
        <w:rPr>
          <w:sz w:val="19"/>
        </w:rPr>
      </w:pPr>
    </w:p>
    <w:p>
      <w:pPr>
        <w:pStyle w:val="ListParagraph"/>
        <w:numPr>
          <w:ilvl w:val="1"/>
          <w:numId w:val="2"/>
        </w:numPr>
        <w:tabs>
          <w:tab w:pos="744" w:val="left" w:leader="none"/>
        </w:tabs>
        <w:spacing w:line="240" w:lineRule="auto" w:before="0" w:after="0"/>
        <w:ind w:left="744" w:right="0" w:hanging="526"/>
        <w:jc w:val="left"/>
        <w:rPr>
          <w:rFonts w:ascii="黑体" w:eastAsia="黑体"/>
          <w:sz w:val="21"/>
        </w:rPr>
      </w:pPr>
      <w:bookmarkStart w:name="7.3　劳动报酬" w:id="63"/>
      <w:bookmarkEnd w:id="63"/>
      <w:r>
        <w:rPr/>
      </w:r>
      <w:bookmarkStart w:name="_bookmark16" w:id="64"/>
      <w:bookmarkEnd w:id="64"/>
      <w:r>
        <w:rPr>
          <w:rFonts w:ascii="黑体" w:eastAsia="黑体"/>
          <w:spacing w:val="-3"/>
          <w:w w:val="95"/>
          <w:sz w:val="21"/>
        </w:rPr>
        <w:t>劳动报酬</w:t>
      </w:r>
    </w:p>
    <w:p>
      <w:pPr>
        <w:pStyle w:val="BodyText"/>
        <w:spacing w:before="5"/>
        <w:rPr>
          <w:rFonts w:ascii="黑体"/>
          <w:sz w:val="17"/>
        </w:rPr>
      </w:pPr>
    </w:p>
    <w:p>
      <w:pPr>
        <w:pStyle w:val="ListParagraph"/>
        <w:numPr>
          <w:ilvl w:val="2"/>
          <w:numId w:val="2"/>
        </w:numPr>
        <w:tabs>
          <w:tab w:pos="953" w:val="left" w:leader="none"/>
        </w:tabs>
        <w:spacing w:line="240" w:lineRule="auto" w:before="0" w:after="0"/>
        <w:ind w:left="952" w:right="0" w:hanging="735"/>
        <w:jc w:val="left"/>
        <w:rPr>
          <w:sz w:val="21"/>
        </w:rPr>
      </w:pPr>
      <w:r>
        <w:rPr>
          <w:spacing w:val="-1"/>
          <w:w w:val="95"/>
          <w:sz w:val="21"/>
        </w:rPr>
        <w:t>平台、用工合作企业应不断完善与配送员工作任务、劳动强度相匹配的劳动报酬分配机制。</w:t>
      </w:r>
    </w:p>
    <w:p>
      <w:pPr>
        <w:pStyle w:val="ListParagraph"/>
        <w:numPr>
          <w:ilvl w:val="2"/>
          <w:numId w:val="2"/>
        </w:numPr>
        <w:tabs>
          <w:tab w:pos="953" w:val="left" w:leader="none"/>
        </w:tabs>
        <w:spacing w:line="240" w:lineRule="auto" w:before="43" w:after="0"/>
        <w:ind w:left="952" w:right="0" w:hanging="735"/>
        <w:jc w:val="left"/>
        <w:rPr>
          <w:sz w:val="21"/>
        </w:rPr>
      </w:pPr>
      <w:r>
        <w:rPr>
          <w:spacing w:val="-1"/>
          <w:w w:val="95"/>
          <w:sz w:val="21"/>
        </w:rPr>
        <w:t>平台、用工合作企业应通过清晰易懂的方式向配送员展示劳动报酬的计算规则及明细。</w:t>
      </w:r>
    </w:p>
    <w:p>
      <w:pPr>
        <w:pStyle w:val="ListParagraph"/>
        <w:numPr>
          <w:ilvl w:val="2"/>
          <w:numId w:val="2"/>
        </w:numPr>
        <w:tabs>
          <w:tab w:pos="953" w:val="left" w:leader="none"/>
        </w:tabs>
        <w:spacing w:line="240" w:lineRule="auto" w:before="43" w:after="0"/>
        <w:ind w:left="952" w:right="0" w:hanging="735"/>
        <w:jc w:val="left"/>
        <w:rPr>
          <w:sz w:val="21"/>
        </w:rPr>
      </w:pPr>
      <w:r>
        <w:rPr>
          <w:spacing w:val="-1"/>
          <w:w w:val="95"/>
          <w:sz w:val="21"/>
        </w:rPr>
        <w:t>平台、用工合作企业应明确配送员劳动报酬发放时间和方式，按时足额发放。</w:t>
      </w:r>
    </w:p>
    <w:p>
      <w:pPr>
        <w:pStyle w:val="ListParagraph"/>
        <w:numPr>
          <w:ilvl w:val="2"/>
          <w:numId w:val="2"/>
        </w:numPr>
        <w:tabs>
          <w:tab w:pos="953" w:val="left" w:leader="none"/>
        </w:tabs>
        <w:spacing w:line="278" w:lineRule="auto" w:before="43" w:after="0"/>
        <w:ind w:left="218" w:right="415" w:firstLine="0"/>
        <w:jc w:val="both"/>
        <w:rPr>
          <w:sz w:val="21"/>
        </w:rPr>
      </w:pPr>
      <w:r>
        <w:rPr>
          <w:spacing w:val="-1"/>
          <w:w w:val="99"/>
          <w:sz w:val="21"/>
        </w:rPr>
        <w:t>配送员在法定节假日、恶劣天气、夜间等情形下工作，平台、用工合作企业应发放补贴或工作</w:t>
      </w:r>
      <w:r>
        <w:rPr>
          <w:w w:val="99"/>
          <w:sz w:val="21"/>
        </w:rPr>
        <w:t>补助。</w:t>
      </w:r>
    </w:p>
    <w:p>
      <w:pPr>
        <w:pStyle w:val="ListParagraph"/>
        <w:numPr>
          <w:ilvl w:val="2"/>
          <w:numId w:val="2"/>
        </w:numPr>
        <w:tabs>
          <w:tab w:pos="953" w:val="left" w:leader="none"/>
        </w:tabs>
        <w:spacing w:line="278" w:lineRule="auto" w:before="0" w:after="0"/>
        <w:ind w:left="218" w:right="416" w:firstLine="0"/>
        <w:jc w:val="both"/>
        <w:rPr>
          <w:sz w:val="21"/>
        </w:rPr>
      </w:pPr>
      <w:r>
        <w:rPr>
          <w:spacing w:val="-1"/>
          <w:w w:val="99"/>
          <w:sz w:val="21"/>
        </w:rPr>
        <w:t>平台、用工合作企业不应将扣款作为配送超时等情况下的主要处罚方式，涉及扣款的规则和扣</w:t>
      </w:r>
      <w:r>
        <w:rPr>
          <w:spacing w:val="-5"/>
          <w:w w:val="99"/>
          <w:sz w:val="21"/>
        </w:rPr>
        <w:t>款情况应充分征求工会和配送员代表的意见并进行公示。平台、用工合作企业应逐步推进替代性管理方</w:t>
      </w:r>
      <w:r>
        <w:rPr>
          <w:spacing w:val="-1"/>
          <w:w w:val="99"/>
          <w:sz w:val="21"/>
        </w:rPr>
        <w:t>式。</w:t>
      </w:r>
    </w:p>
    <w:p>
      <w:pPr>
        <w:pStyle w:val="ListParagraph"/>
        <w:numPr>
          <w:ilvl w:val="1"/>
          <w:numId w:val="2"/>
        </w:numPr>
        <w:tabs>
          <w:tab w:pos="744" w:val="left" w:leader="none"/>
        </w:tabs>
        <w:spacing w:line="240" w:lineRule="auto" w:before="179" w:after="0"/>
        <w:ind w:left="744" w:right="0" w:hanging="526"/>
        <w:jc w:val="left"/>
        <w:rPr>
          <w:rFonts w:ascii="黑体" w:eastAsia="黑体"/>
          <w:sz w:val="21"/>
        </w:rPr>
      </w:pPr>
      <w:bookmarkStart w:name="7.4　工作时间" w:id="65"/>
      <w:bookmarkEnd w:id="65"/>
      <w:r>
        <w:rPr/>
      </w:r>
      <w:bookmarkStart w:name="_bookmark17" w:id="66"/>
      <w:bookmarkEnd w:id="66"/>
      <w:r>
        <w:rPr>
          <w:rFonts w:ascii="黑体" w:eastAsia="黑体"/>
          <w:spacing w:val="-3"/>
          <w:w w:val="95"/>
          <w:sz w:val="21"/>
        </w:rPr>
        <w:t>工作时间</w:t>
      </w:r>
    </w:p>
    <w:p>
      <w:pPr>
        <w:pStyle w:val="BodyText"/>
        <w:spacing w:before="5"/>
        <w:rPr>
          <w:rFonts w:ascii="黑体"/>
          <w:sz w:val="17"/>
        </w:rPr>
      </w:pPr>
    </w:p>
    <w:p>
      <w:pPr>
        <w:pStyle w:val="ListParagraph"/>
        <w:numPr>
          <w:ilvl w:val="2"/>
          <w:numId w:val="2"/>
        </w:numPr>
        <w:tabs>
          <w:tab w:pos="953" w:val="left" w:leader="none"/>
        </w:tabs>
        <w:spacing w:line="278" w:lineRule="auto" w:before="1" w:after="0"/>
        <w:ind w:left="218" w:right="412" w:firstLine="0"/>
        <w:jc w:val="both"/>
        <w:rPr>
          <w:sz w:val="21"/>
        </w:rPr>
      </w:pPr>
      <w:r>
        <w:rPr>
          <w:spacing w:val="-1"/>
          <w:w w:val="99"/>
          <w:sz w:val="21"/>
        </w:rPr>
        <w:t>平台、用工合作企业应完善配送员休息办法，科学合理设置配送员的劳动时间和劳动强度，确保配送员获得必要的休息时间，保障配送员身体健康。其中，平台应采取以下措施：</w:t>
      </w:r>
    </w:p>
    <w:p>
      <w:pPr>
        <w:pStyle w:val="ListParagraph"/>
        <w:numPr>
          <w:ilvl w:val="3"/>
          <w:numId w:val="2"/>
        </w:numPr>
        <w:tabs>
          <w:tab w:pos="1068" w:val="left" w:leader="none"/>
        </w:tabs>
        <w:spacing w:line="278" w:lineRule="auto" w:before="0" w:after="0"/>
        <w:ind w:left="1068" w:right="412" w:hanging="425"/>
        <w:jc w:val="both"/>
        <w:rPr>
          <w:sz w:val="21"/>
        </w:rPr>
      </w:pPr>
      <w:r>
        <w:rPr>
          <w:spacing w:val="-3"/>
          <w:w w:val="99"/>
          <w:sz w:val="21"/>
        </w:rPr>
        <w:t>平台应合理限定配送员的接单时长，每天接单时长原则上不超过</w:t>
      </w:r>
      <w:r>
        <w:rPr>
          <w:spacing w:val="-48"/>
          <w:sz w:val="21"/>
        </w:rPr>
        <w:t> </w:t>
      </w:r>
      <w:r>
        <w:rPr>
          <w:spacing w:val="-2"/>
          <w:w w:val="99"/>
          <w:sz w:val="21"/>
        </w:rPr>
        <w:t>8</w:t>
      </w:r>
      <w:r>
        <w:rPr>
          <w:spacing w:val="1"/>
          <w:w w:val="99"/>
          <w:sz w:val="21"/>
        </w:rPr>
        <w:t>h</w:t>
      </w:r>
      <w:r>
        <w:rPr>
          <w:spacing w:val="-4"/>
          <w:w w:val="99"/>
          <w:sz w:val="21"/>
        </w:rPr>
        <w:t>；接单时长达到</w:t>
      </w:r>
      <w:r>
        <w:rPr>
          <w:spacing w:val="-50"/>
          <w:sz w:val="21"/>
        </w:rPr>
        <w:t> </w:t>
      </w:r>
      <w:r>
        <w:rPr>
          <w:spacing w:val="-2"/>
          <w:w w:val="99"/>
          <w:sz w:val="21"/>
        </w:rPr>
        <w:t>8</w:t>
      </w:r>
      <w:r>
        <w:rPr>
          <w:w w:val="99"/>
          <w:sz w:val="21"/>
        </w:rPr>
        <w:t>h</w:t>
      </w:r>
      <w:r>
        <w:rPr>
          <w:spacing w:val="-52"/>
          <w:sz w:val="21"/>
        </w:rPr>
        <w:t> </w:t>
      </w:r>
      <w:r>
        <w:rPr>
          <w:spacing w:val="-6"/>
          <w:w w:val="99"/>
          <w:sz w:val="21"/>
        </w:rPr>
        <w:t>后，平</w:t>
      </w:r>
      <w:r>
        <w:rPr>
          <w:spacing w:val="1"/>
          <w:w w:val="99"/>
          <w:sz w:val="21"/>
        </w:rPr>
        <w:t>台应发出是否继续接单提示，由配送员自主确认。在配送员自主确认继续接单的情况下，平</w:t>
      </w:r>
      <w:r>
        <w:rPr>
          <w:spacing w:val="-1"/>
          <w:w w:val="99"/>
          <w:sz w:val="21"/>
        </w:rPr>
        <w:t>台也应合理设置配送员</w:t>
      </w:r>
      <w:r>
        <w:rPr>
          <w:spacing w:val="-53"/>
          <w:sz w:val="21"/>
        </w:rPr>
        <w:t> </w:t>
      </w:r>
      <w:r>
        <w:rPr>
          <w:spacing w:val="1"/>
          <w:w w:val="99"/>
          <w:sz w:val="21"/>
        </w:rPr>
        <w:t>8</w:t>
      </w:r>
      <w:r>
        <w:rPr>
          <w:w w:val="99"/>
          <w:sz w:val="21"/>
        </w:rPr>
        <w:t>h</w:t>
      </w:r>
      <w:r>
        <w:rPr>
          <w:spacing w:val="-52"/>
          <w:sz w:val="21"/>
        </w:rPr>
        <w:t> </w:t>
      </w:r>
      <w:r>
        <w:rPr>
          <w:spacing w:val="-1"/>
          <w:w w:val="99"/>
          <w:sz w:val="21"/>
        </w:rPr>
        <w:t>外的接单时长，避免配送员超时劳动、过度劳累引发健康和安全风</w:t>
      </w:r>
      <w:r>
        <w:rPr>
          <w:spacing w:val="1"/>
          <w:w w:val="99"/>
          <w:sz w:val="21"/>
        </w:rPr>
        <w:t>险；</w:t>
      </w:r>
    </w:p>
    <w:p>
      <w:pPr>
        <w:pStyle w:val="ListParagraph"/>
        <w:numPr>
          <w:ilvl w:val="3"/>
          <w:numId w:val="2"/>
        </w:numPr>
        <w:tabs>
          <w:tab w:pos="1068" w:val="left" w:leader="none"/>
        </w:tabs>
        <w:spacing w:line="278" w:lineRule="auto" w:before="0" w:after="0"/>
        <w:ind w:left="1068" w:right="410" w:hanging="425"/>
        <w:jc w:val="both"/>
        <w:rPr>
          <w:sz w:val="21"/>
        </w:rPr>
      </w:pPr>
      <w:r>
        <w:rPr>
          <w:spacing w:val="-1"/>
          <w:w w:val="99"/>
          <w:sz w:val="21"/>
        </w:rPr>
        <w:t>对于连续接单时间超过</w:t>
      </w:r>
      <w:r>
        <w:rPr>
          <w:spacing w:val="-50"/>
          <w:sz w:val="21"/>
        </w:rPr>
        <w:t> </w:t>
      </w:r>
      <w:r>
        <w:rPr>
          <w:spacing w:val="1"/>
          <w:w w:val="99"/>
          <w:sz w:val="21"/>
        </w:rPr>
        <w:t>4</w:t>
      </w:r>
      <w:r>
        <w:rPr>
          <w:w w:val="99"/>
          <w:sz w:val="21"/>
        </w:rPr>
        <w:t>h</w:t>
      </w:r>
      <w:r>
        <w:rPr>
          <w:spacing w:val="-52"/>
          <w:sz w:val="21"/>
        </w:rPr>
        <w:t> </w:t>
      </w:r>
      <w:r>
        <w:rPr>
          <w:spacing w:val="-1"/>
          <w:w w:val="99"/>
          <w:sz w:val="21"/>
        </w:rPr>
        <w:t>的配送员，平台应发出疲劳提示，原则上</w:t>
      </w:r>
      <w:r>
        <w:rPr>
          <w:spacing w:val="-53"/>
          <w:sz w:val="21"/>
        </w:rPr>
        <w:t> </w:t>
      </w:r>
      <w:r>
        <w:rPr>
          <w:spacing w:val="1"/>
          <w:w w:val="99"/>
          <w:sz w:val="21"/>
        </w:rPr>
        <w:t>20mi</w:t>
      </w:r>
      <w:r>
        <w:rPr>
          <w:w w:val="99"/>
          <w:sz w:val="21"/>
        </w:rPr>
        <w:t>n</w:t>
      </w:r>
      <w:r>
        <w:rPr>
          <w:spacing w:val="-54"/>
          <w:sz w:val="21"/>
        </w:rPr>
        <w:t> </w:t>
      </w:r>
      <w:r>
        <w:rPr>
          <w:spacing w:val="-1"/>
          <w:w w:val="99"/>
          <w:sz w:val="21"/>
        </w:rPr>
        <w:t>内不再推送订单。</w:t>
      </w:r>
      <w:r>
        <w:rPr>
          <w:spacing w:val="1"/>
          <w:w w:val="99"/>
          <w:sz w:val="21"/>
        </w:rPr>
        <w:t>若配送员当时正在执行订单任务过程中，从该订单任务完成后开始计算停止推送订单时长。对于疲劳提示后停止接单的配送员，平台宜通过优先推送优质订单，发放休息时长补贴，联合合作商户给予免费饮用水、折扣简餐等方式，引导配送员在收到疲劳提示后停止接单，及</w:t>
      </w:r>
      <w:r>
        <w:rPr>
          <w:w w:val="99"/>
          <w:sz w:val="21"/>
        </w:rPr>
        <w:t>时休息；</w:t>
      </w:r>
    </w:p>
    <w:p>
      <w:pPr>
        <w:pStyle w:val="ListParagraph"/>
        <w:numPr>
          <w:ilvl w:val="3"/>
          <w:numId w:val="2"/>
        </w:numPr>
        <w:tabs>
          <w:tab w:pos="1068" w:val="left" w:leader="none"/>
        </w:tabs>
        <w:spacing w:line="268" w:lineRule="exact" w:before="0" w:after="0"/>
        <w:ind w:left="1068" w:right="0" w:hanging="425"/>
        <w:jc w:val="both"/>
        <w:rPr>
          <w:sz w:val="21"/>
        </w:rPr>
      </w:pPr>
      <w:r>
        <w:rPr>
          <w:spacing w:val="-1"/>
          <w:w w:val="95"/>
          <w:sz w:val="21"/>
        </w:rPr>
        <w:t>平台不应通过算法、冲单奖等活动强迫或者变相强迫配送员超时劳动；</w:t>
      </w:r>
    </w:p>
    <w:p>
      <w:pPr>
        <w:spacing w:after="0" w:line="268" w:lineRule="exact"/>
        <w:jc w:val="both"/>
        <w:rPr>
          <w:sz w:val="21"/>
        </w:rPr>
        <w:sectPr>
          <w:pgSz w:w="11910" w:h="16840"/>
          <w:pgMar w:header="1449" w:footer="1141" w:top="1640" w:bottom="1340" w:left="1200" w:right="720"/>
        </w:sectPr>
      </w:pPr>
    </w:p>
    <w:p>
      <w:pPr>
        <w:pStyle w:val="BodyText"/>
        <w:spacing w:before="3"/>
        <w:rPr>
          <w:sz w:val="17"/>
        </w:rPr>
      </w:pPr>
    </w:p>
    <w:p>
      <w:pPr>
        <w:pStyle w:val="ListParagraph"/>
        <w:numPr>
          <w:ilvl w:val="3"/>
          <w:numId w:val="2"/>
        </w:numPr>
        <w:tabs>
          <w:tab w:pos="1068" w:val="left" w:leader="none"/>
        </w:tabs>
        <w:spacing w:line="240" w:lineRule="auto" w:before="70" w:after="0"/>
        <w:ind w:left="1068" w:right="0" w:hanging="425"/>
        <w:jc w:val="both"/>
        <w:rPr>
          <w:sz w:val="21"/>
        </w:rPr>
      </w:pPr>
      <w:r>
        <w:rPr>
          <w:spacing w:val="-1"/>
          <w:w w:val="95"/>
          <w:sz w:val="21"/>
        </w:rPr>
        <w:t>平台应合理设置同时接单量，合理调控配送员的劳动量；</w:t>
      </w:r>
    </w:p>
    <w:p>
      <w:pPr>
        <w:pStyle w:val="ListParagraph"/>
        <w:numPr>
          <w:ilvl w:val="3"/>
          <w:numId w:val="2"/>
        </w:numPr>
        <w:tabs>
          <w:tab w:pos="1068" w:val="left" w:leader="none"/>
        </w:tabs>
        <w:spacing w:line="278" w:lineRule="auto" w:before="43" w:after="0"/>
        <w:ind w:left="1068" w:right="416" w:hanging="425"/>
        <w:jc w:val="both"/>
        <w:rPr>
          <w:sz w:val="21"/>
        </w:rPr>
      </w:pPr>
      <w:r>
        <w:rPr>
          <w:spacing w:val="1"/>
          <w:w w:val="99"/>
          <w:sz w:val="21"/>
        </w:rPr>
        <w:t>平台设置绩效奖、全勤奖等奖励措施且与配送员出勤天数挂钩的，应保障配送员享有平均每</w:t>
      </w:r>
      <w:r>
        <w:rPr>
          <w:spacing w:val="-1"/>
          <w:w w:val="99"/>
          <w:sz w:val="21"/>
        </w:rPr>
        <w:t>周至少休息一天的权利。</w:t>
      </w:r>
    </w:p>
    <w:p>
      <w:pPr>
        <w:pStyle w:val="ListParagraph"/>
        <w:numPr>
          <w:ilvl w:val="2"/>
          <w:numId w:val="2"/>
        </w:numPr>
        <w:tabs>
          <w:tab w:pos="953" w:val="left" w:leader="none"/>
        </w:tabs>
        <w:spacing w:line="278" w:lineRule="auto" w:before="0" w:after="0"/>
        <w:ind w:left="218" w:right="412" w:firstLine="0"/>
        <w:jc w:val="both"/>
        <w:rPr>
          <w:sz w:val="21"/>
        </w:rPr>
      </w:pPr>
      <w:r>
        <w:rPr>
          <w:spacing w:val="-1"/>
          <w:w w:val="99"/>
          <w:sz w:val="21"/>
        </w:rPr>
        <w:t>平台调度算法应综合考虑城市规模、路况、天气、配送员爬楼、配送员正在配送的订单数量等</w:t>
      </w:r>
      <w:r>
        <w:rPr>
          <w:spacing w:val="-8"/>
          <w:w w:val="99"/>
          <w:sz w:val="21"/>
        </w:rPr>
        <w:t>各种因素，避免平台调度算法不合理导致配送员劳动时间过长、劳动强度过大。平台规划配送推荐路线</w:t>
      </w:r>
      <w:r>
        <w:rPr>
          <w:spacing w:val="-1"/>
          <w:w w:val="99"/>
          <w:sz w:val="21"/>
        </w:rPr>
        <w:t>算法不应推荐逆行、禁行等违规路线。</w:t>
      </w:r>
    </w:p>
    <w:p>
      <w:pPr>
        <w:pStyle w:val="ListParagraph"/>
        <w:numPr>
          <w:ilvl w:val="2"/>
          <w:numId w:val="2"/>
        </w:numPr>
        <w:tabs>
          <w:tab w:pos="953" w:val="left" w:leader="none"/>
        </w:tabs>
        <w:spacing w:line="278" w:lineRule="auto" w:before="0" w:after="0"/>
        <w:ind w:left="218" w:right="412" w:firstLine="0"/>
        <w:jc w:val="both"/>
        <w:rPr>
          <w:sz w:val="21"/>
        </w:rPr>
      </w:pPr>
      <w:r>
        <w:rPr>
          <w:w w:val="95"/>
          <w:sz w:val="21"/>
        </w:rPr>
        <w:t>平台计算配送时长，对于驾驶电动自行车配送情况，应以平均时速不超过</w:t>
      </w:r>
      <w:r>
        <w:rPr>
          <w:spacing w:val="31"/>
          <w:sz w:val="21"/>
        </w:rPr>
        <w:t> </w:t>
      </w:r>
      <w:r>
        <w:rPr>
          <w:w w:val="95"/>
          <w:sz w:val="21"/>
        </w:rPr>
        <w:t>15km/h</w:t>
      </w:r>
      <w:r>
        <w:rPr>
          <w:spacing w:val="33"/>
          <w:sz w:val="21"/>
        </w:rPr>
        <w:t> </w:t>
      </w:r>
      <w:r>
        <w:rPr>
          <w:w w:val="95"/>
          <w:sz w:val="21"/>
        </w:rPr>
        <w:t>计算；对于驾</w:t>
      </w:r>
      <w:r>
        <w:rPr>
          <w:spacing w:val="-2"/>
          <w:sz w:val="21"/>
        </w:rPr>
        <w:t>驶其他类型机动车配送情况，在不超过行驶路段限速前提下，适当降低配速。</w:t>
      </w:r>
    </w:p>
    <w:p>
      <w:pPr>
        <w:pStyle w:val="ListParagraph"/>
        <w:numPr>
          <w:ilvl w:val="1"/>
          <w:numId w:val="2"/>
        </w:numPr>
        <w:tabs>
          <w:tab w:pos="744" w:val="left" w:leader="none"/>
        </w:tabs>
        <w:spacing w:line="240" w:lineRule="auto" w:before="179" w:after="0"/>
        <w:ind w:left="744" w:right="0" w:hanging="526"/>
        <w:jc w:val="both"/>
        <w:rPr>
          <w:rFonts w:ascii="黑体" w:eastAsia="黑体"/>
          <w:sz w:val="21"/>
        </w:rPr>
      </w:pPr>
      <w:bookmarkStart w:name="7.5　职业发展和关怀" w:id="67"/>
      <w:bookmarkEnd w:id="67"/>
      <w:r>
        <w:rPr/>
      </w:r>
      <w:bookmarkStart w:name="_bookmark18" w:id="68"/>
      <w:bookmarkEnd w:id="68"/>
      <w:r>
        <w:rPr>
          <w:rFonts w:ascii="黑体" w:eastAsia="黑体"/>
          <w:spacing w:val="-2"/>
          <w:w w:val="95"/>
          <w:sz w:val="21"/>
        </w:rPr>
        <w:t>职业发展和关怀</w:t>
      </w:r>
    </w:p>
    <w:p>
      <w:pPr>
        <w:pStyle w:val="BodyText"/>
        <w:spacing w:before="3"/>
        <w:rPr>
          <w:rFonts w:ascii="黑体"/>
          <w:sz w:val="17"/>
        </w:rPr>
      </w:pPr>
    </w:p>
    <w:p>
      <w:pPr>
        <w:pStyle w:val="ListParagraph"/>
        <w:numPr>
          <w:ilvl w:val="2"/>
          <w:numId w:val="2"/>
        </w:numPr>
        <w:tabs>
          <w:tab w:pos="953" w:val="left" w:leader="none"/>
        </w:tabs>
        <w:spacing w:line="240" w:lineRule="auto" w:before="0" w:after="0"/>
        <w:ind w:left="952" w:right="0" w:hanging="735"/>
        <w:jc w:val="both"/>
        <w:rPr>
          <w:sz w:val="21"/>
        </w:rPr>
      </w:pPr>
      <w:r>
        <w:rPr>
          <w:spacing w:val="-1"/>
          <w:w w:val="95"/>
          <w:sz w:val="21"/>
        </w:rPr>
        <w:t>配送员在平台累计接单时长达到一定数额时，平台可为配送员提供免费体检服务。</w:t>
      </w:r>
    </w:p>
    <w:p>
      <w:pPr>
        <w:pStyle w:val="ListParagraph"/>
        <w:numPr>
          <w:ilvl w:val="2"/>
          <w:numId w:val="2"/>
        </w:numPr>
        <w:tabs>
          <w:tab w:pos="953" w:val="left" w:leader="none"/>
        </w:tabs>
        <w:spacing w:line="278" w:lineRule="auto" w:before="43" w:after="0"/>
        <w:ind w:left="218" w:right="412" w:firstLine="0"/>
        <w:jc w:val="both"/>
        <w:rPr>
          <w:sz w:val="21"/>
        </w:rPr>
      </w:pPr>
      <w:r>
        <w:rPr>
          <w:spacing w:val="2"/>
          <w:w w:val="99"/>
          <w:sz w:val="21"/>
        </w:rPr>
        <w:t>平台应建立健全配送员申诉机制，明确申诉渠道、程序和时限（</w:t>
      </w:r>
      <w:r>
        <w:rPr>
          <w:spacing w:val="1"/>
          <w:w w:val="99"/>
          <w:sz w:val="21"/>
        </w:rPr>
        <w:t>通常不超过</w:t>
      </w:r>
      <w:r>
        <w:rPr>
          <w:spacing w:val="-50"/>
          <w:sz w:val="21"/>
        </w:rPr>
        <w:t> </w:t>
      </w:r>
      <w:r>
        <w:rPr>
          <w:spacing w:val="1"/>
          <w:w w:val="99"/>
          <w:sz w:val="21"/>
        </w:rPr>
        <w:t>4</w:t>
      </w:r>
      <w:r>
        <w:rPr>
          <w:spacing w:val="-2"/>
          <w:w w:val="99"/>
          <w:sz w:val="21"/>
        </w:rPr>
        <w:t>8</w:t>
      </w:r>
      <w:r>
        <w:rPr>
          <w:spacing w:val="3"/>
          <w:w w:val="99"/>
          <w:sz w:val="21"/>
        </w:rPr>
        <w:t>h</w:t>
      </w:r>
      <w:r>
        <w:rPr>
          <w:spacing w:val="1"/>
          <w:w w:val="99"/>
          <w:sz w:val="21"/>
        </w:rPr>
        <w:t>；对于客观因</w:t>
      </w:r>
      <w:r>
        <w:rPr>
          <w:spacing w:val="-3"/>
          <w:w w:val="99"/>
          <w:sz w:val="21"/>
        </w:rPr>
        <w:t>素造成送单超时等常规问题，一般在</w:t>
      </w:r>
      <w:r>
        <w:rPr>
          <w:spacing w:val="-53"/>
          <w:sz w:val="21"/>
        </w:rPr>
        <w:t> </w:t>
      </w:r>
      <w:r>
        <w:rPr>
          <w:spacing w:val="1"/>
          <w:w w:val="99"/>
          <w:sz w:val="21"/>
        </w:rPr>
        <w:t>24</w:t>
      </w:r>
      <w:r>
        <w:rPr>
          <w:w w:val="99"/>
          <w:sz w:val="21"/>
        </w:rPr>
        <w:t>h</w:t>
      </w:r>
      <w:r>
        <w:rPr>
          <w:spacing w:val="-52"/>
          <w:sz w:val="21"/>
        </w:rPr>
        <w:t> </w:t>
      </w:r>
      <w:r>
        <w:rPr>
          <w:spacing w:val="-1"/>
          <w:w w:val="99"/>
          <w:sz w:val="21"/>
        </w:rPr>
        <w:t>内合理解决</w:t>
      </w:r>
      <w:r>
        <w:rPr>
          <w:spacing w:val="-22"/>
          <w:w w:val="99"/>
          <w:sz w:val="21"/>
        </w:rPr>
        <w:t>）</w:t>
      </w:r>
      <w:r>
        <w:rPr>
          <w:spacing w:val="-7"/>
          <w:w w:val="99"/>
          <w:sz w:val="21"/>
        </w:rPr>
        <w:t>，简化申诉流程和材料，保障配送员的申诉得到</w:t>
      </w:r>
      <w:r>
        <w:rPr>
          <w:spacing w:val="-1"/>
          <w:w w:val="99"/>
          <w:sz w:val="21"/>
        </w:rPr>
        <w:t>及时回应和客观公正处理。</w:t>
      </w:r>
    </w:p>
    <w:p>
      <w:pPr>
        <w:pStyle w:val="ListParagraph"/>
        <w:numPr>
          <w:ilvl w:val="2"/>
          <w:numId w:val="2"/>
        </w:numPr>
        <w:tabs>
          <w:tab w:pos="953" w:val="left" w:leader="none"/>
        </w:tabs>
        <w:spacing w:line="278" w:lineRule="auto" w:before="0" w:after="0"/>
        <w:ind w:left="218" w:right="412" w:firstLine="0"/>
        <w:jc w:val="both"/>
        <w:rPr>
          <w:sz w:val="21"/>
        </w:rPr>
      </w:pPr>
      <w:r>
        <w:rPr>
          <w:spacing w:val="-1"/>
          <w:w w:val="99"/>
          <w:sz w:val="21"/>
        </w:rPr>
        <w:t>平台及用工合作企业应当建立完善的配送员培训体系，按规定提取和使用职工教育经费，培训内容覆盖全业务流程，包含配送服务规范、安全要求、保险理赔等内容。</w:t>
      </w:r>
    </w:p>
    <w:p>
      <w:pPr>
        <w:pStyle w:val="ListParagraph"/>
        <w:numPr>
          <w:ilvl w:val="2"/>
          <w:numId w:val="2"/>
        </w:numPr>
        <w:tabs>
          <w:tab w:pos="953" w:val="left" w:leader="none"/>
        </w:tabs>
        <w:spacing w:line="278" w:lineRule="auto" w:before="0" w:after="0"/>
        <w:ind w:left="218" w:right="412" w:firstLine="0"/>
        <w:jc w:val="both"/>
        <w:rPr>
          <w:sz w:val="21"/>
        </w:rPr>
      </w:pPr>
      <w:r>
        <w:rPr>
          <w:spacing w:val="-1"/>
          <w:w w:val="99"/>
          <w:sz w:val="21"/>
        </w:rPr>
        <w:t>平台及用工合作企业在加强自身党建基础上，推动建立适应新就业形态的配送员群体党组织和群团组织。</w:t>
      </w:r>
    </w:p>
    <w:p>
      <w:pPr>
        <w:spacing w:after="0" w:line="278" w:lineRule="auto"/>
        <w:jc w:val="both"/>
        <w:rPr>
          <w:sz w:val="21"/>
        </w:rPr>
        <w:sectPr>
          <w:pgSz w:w="11910" w:h="16840"/>
          <w:pgMar w:header="1449" w:footer="1141" w:top="1640" w:bottom="1340" w:left="1200" w:right="720"/>
        </w:sectPr>
      </w:pPr>
    </w:p>
    <w:p>
      <w:pPr>
        <w:pStyle w:val="BodyText"/>
        <w:rPr>
          <w:sz w:val="20"/>
        </w:rPr>
      </w:pPr>
    </w:p>
    <w:p>
      <w:pPr>
        <w:pStyle w:val="BodyText"/>
        <w:rPr>
          <w:sz w:val="20"/>
        </w:rPr>
      </w:pPr>
    </w:p>
    <w:p>
      <w:pPr>
        <w:pStyle w:val="BodyText"/>
        <w:spacing w:before="11"/>
        <w:rPr>
          <w:sz w:val="20"/>
        </w:rPr>
      </w:pPr>
    </w:p>
    <w:p>
      <w:pPr>
        <w:pStyle w:val="BodyText"/>
        <w:tabs>
          <w:tab w:pos="921" w:val="left" w:leader="none"/>
        </w:tabs>
        <w:spacing w:before="70"/>
        <w:ind w:right="293"/>
        <w:jc w:val="center"/>
        <w:rPr>
          <w:rFonts w:ascii="黑体" w:eastAsia="黑体"/>
        </w:rPr>
      </w:pPr>
      <w:r>
        <w:rPr>
          <w:rFonts w:ascii="黑体" w:eastAsia="黑体"/>
        </w:rPr>
        <w:t>附</w:t>
      </w:r>
      <w:r>
        <w:rPr>
          <w:rFonts w:ascii="黑体" w:eastAsia="黑体"/>
          <w:spacing w:val="41"/>
          <w:w w:val="150"/>
        </w:rPr>
        <w:t> </w:t>
      </w:r>
      <w:r>
        <w:rPr>
          <w:rFonts w:ascii="黑体" w:eastAsia="黑体"/>
          <w:spacing w:val="-10"/>
        </w:rPr>
        <w:t>录</w:t>
      </w:r>
      <w:r>
        <w:rPr>
          <w:rFonts w:ascii="黑体" w:eastAsia="黑体"/>
        </w:rPr>
        <w:tab/>
      </w:r>
      <w:r>
        <w:rPr>
          <w:rFonts w:ascii="黑体" w:eastAsia="黑体"/>
          <w:spacing w:val="-10"/>
        </w:rPr>
        <w:t>A</w:t>
      </w:r>
    </w:p>
    <w:p>
      <w:pPr>
        <w:pStyle w:val="BodyText"/>
        <w:spacing w:before="43"/>
        <w:ind w:right="194"/>
        <w:jc w:val="center"/>
        <w:rPr>
          <w:rFonts w:ascii="黑体" w:eastAsia="黑体"/>
        </w:rPr>
      </w:pPr>
      <w:r>
        <w:rPr>
          <w:rFonts w:ascii="黑体" w:eastAsia="黑体"/>
          <w:w w:val="95"/>
        </w:rPr>
        <w:t>（规范性</w:t>
      </w:r>
      <w:r>
        <w:rPr>
          <w:rFonts w:ascii="黑体" w:eastAsia="黑体"/>
          <w:spacing w:val="-10"/>
          <w:w w:val="95"/>
        </w:rPr>
        <w:t>）</w:t>
      </w:r>
    </w:p>
    <w:p>
      <w:pPr>
        <w:pStyle w:val="BodyText"/>
        <w:spacing w:before="43"/>
        <w:ind w:right="194"/>
        <w:jc w:val="center"/>
        <w:rPr>
          <w:rFonts w:ascii="黑体" w:eastAsia="黑体"/>
        </w:rPr>
      </w:pPr>
      <w:r>
        <w:rPr>
          <w:rFonts w:ascii="黑体" w:eastAsia="黑体"/>
          <w:w w:val="95"/>
        </w:rPr>
        <w:t>平台收费计算</w:t>
      </w:r>
      <w:bookmarkStart w:name="附录A（规范性）平台收费计算公式" w:id="69"/>
      <w:bookmarkEnd w:id="69"/>
      <w:r>
        <w:rPr>
          <w:rFonts w:ascii="黑体" w:eastAsia="黑体"/>
          <w:spacing w:val="2"/>
          <w:w w:val="99"/>
        </w:rPr>
      </w:r>
      <w:bookmarkStart w:name="_bookmark19" w:id="70"/>
      <w:bookmarkEnd w:id="70"/>
      <w:r>
        <w:rPr>
          <w:rFonts w:ascii="黑体" w:eastAsia="黑体"/>
          <w:spacing w:val="-5"/>
          <w:w w:val="95"/>
        </w:rPr>
        <w:t>公式</w:t>
      </w:r>
    </w:p>
    <w:p>
      <w:pPr>
        <w:pStyle w:val="BodyText"/>
        <w:spacing w:before="12"/>
        <w:rPr>
          <w:rFonts w:ascii="黑体"/>
          <w:sz w:val="14"/>
        </w:rPr>
      </w:pPr>
    </w:p>
    <w:p>
      <w:pPr>
        <w:pStyle w:val="ListParagraph"/>
        <w:numPr>
          <w:ilvl w:val="1"/>
          <w:numId w:val="13"/>
        </w:numPr>
        <w:tabs>
          <w:tab w:pos="658" w:val="left" w:leader="none"/>
        </w:tabs>
        <w:spacing w:line="240" w:lineRule="auto" w:before="70" w:after="0"/>
        <w:ind w:left="657" w:right="0" w:hanging="440"/>
        <w:jc w:val="left"/>
        <w:rPr>
          <w:rFonts w:ascii="黑体" w:eastAsia="黑体"/>
          <w:sz w:val="21"/>
        </w:rPr>
      </w:pPr>
      <w:bookmarkStart w:name="A.1 技术服务费计算方式" w:id="71"/>
      <w:bookmarkEnd w:id="71"/>
      <w:r>
        <w:rPr>
          <w:rFonts w:ascii="黑体" w:eastAsia="黑体"/>
          <w:spacing w:val="-2"/>
          <w:w w:val="95"/>
          <w:sz w:val="21"/>
        </w:rPr>
        <w:t>技术服务费计算方式</w:t>
      </w:r>
    </w:p>
    <w:p>
      <w:pPr>
        <w:pStyle w:val="ListParagraph"/>
        <w:numPr>
          <w:ilvl w:val="2"/>
          <w:numId w:val="13"/>
        </w:numPr>
        <w:tabs>
          <w:tab w:pos="876" w:val="left" w:leader="none"/>
        </w:tabs>
        <w:spacing w:line="278" w:lineRule="auto" w:before="163" w:after="0"/>
        <w:ind w:left="638" w:right="1682" w:hanging="420"/>
        <w:jc w:val="left"/>
        <w:rPr>
          <w:sz w:val="21"/>
        </w:rPr>
      </w:pPr>
      <w:bookmarkStart w:name="A.1.1 平台直接向商户提供服务的，收取技术服务费时，应按照下列方式进行计算：" w:id="72"/>
      <w:bookmarkEnd w:id="72"/>
      <w:r>
        <w:rPr>
          <w:spacing w:val="-2"/>
          <w:sz w:val="21"/>
        </w:rPr>
        <w:t>平台直接向商户提供服务的，收取技术服务费时，应按照下列方式进行计算：</w:t>
      </w:r>
      <w:r>
        <w:rPr>
          <w:spacing w:val="80"/>
          <w:w w:val="150"/>
          <w:sz w:val="21"/>
        </w:rPr>
        <w:t> </w:t>
      </w:r>
      <w:r>
        <w:rPr>
          <w:spacing w:val="-2"/>
          <w:w w:val="95"/>
          <w:sz w:val="21"/>
        </w:rPr>
        <w:t>技术服务费=（商品实际金额+商户其他收费-商户价格促销金额）×技术服务费费率</w:t>
      </w:r>
    </w:p>
    <w:p>
      <w:pPr>
        <w:pStyle w:val="BodyText"/>
        <w:spacing w:line="278" w:lineRule="auto"/>
        <w:ind w:left="218" w:right="412" w:firstLine="420"/>
      </w:pPr>
      <w:r>
        <w:rPr>
          <w:spacing w:val="-8"/>
          <w:w w:val="99"/>
        </w:rPr>
        <w:t>其中，商品实际金额为商品展示页面的标价，商户其他收费为打包费、餐具费等其他费用，商户价</w:t>
      </w:r>
      <w:r>
        <w:rPr>
          <w:spacing w:val="-1"/>
          <w:w w:val="99"/>
        </w:rPr>
        <w:t>格促销金额为商户出资的折抵商品价款的金额。</w:t>
      </w:r>
    </w:p>
    <w:p>
      <w:pPr>
        <w:pStyle w:val="ListParagraph"/>
        <w:numPr>
          <w:ilvl w:val="2"/>
          <w:numId w:val="13"/>
        </w:numPr>
        <w:tabs>
          <w:tab w:pos="876" w:val="left" w:leader="none"/>
        </w:tabs>
        <w:spacing w:line="269" w:lineRule="exact" w:before="0" w:after="0"/>
        <w:ind w:left="876" w:right="0" w:hanging="658"/>
        <w:jc w:val="left"/>
        <w:rPr>
          <w:sz w:val="21"/>
        </w:rPr>
      </w:pPr>
      <w:bookmarkStart w:name="A.1.2 当按费率计算的技术服务费低于保底金额时，平台可按照公示的保底金额收取" w:id="73"/>
      <w:bookmarkEnd w:id="73"/>
      <w:r>
        <w:rPr>
          <w:spacing w:val="-1"/>
          <w:w w:val="95"/>
          <w:sz w:val="21"/>
        </w:rPr>
        <w:t>当按费率计算的技术服务费低于保底金额时，平台可按照公示的保底金额收取。</w:t>
      </w:r>
    </w:p>
    <w:p>
      <w:pPr>
        <w:pStyle w:val="BodyText"/>
        <w:spacing w:before="2"/>
        <w:rPr>
          <w:sz w:val="20"/>
        </w:rPr>
      </w:pPr>
    </w:p>
    <w:p>
      <w:pPr>
        <w:pStyle w:val="ListParagraph"/>
        <w:numPr>
          <w:ilvl w:val="1"/>
          <w:numId w:val="13"/>
        </w:numPr>
        <w:tabs>
          <w:tab w:pos="658" w:val="left" w:leader="none"/>
        </w:tabs>
        <w:spacing w:line="240" w:lineRule="auto" w:before="0" w:after="0"/>
        <w:ind w:left="657" w:right="0" w:hanging="440"/>
        <w:jc w:val="left"/>
        <w:rPr>
          <w:rFonts w:ascii="黑体" w:eastAsia="黑体"/>
          <w:sz w:val="21"/>
        </w:rPr>
      </w:pPr>
      <w:bookmarkStart w:name="A.2 配送总费用计算方式" w:id="74"/>
      <w:bookmarkEnd w:id="74"/>
      <w:r>
        <w:rPr>
          <w:rFonts w:ascii="黑体" w:eastAsia="黑体"/>
          <w:spacing w:val="-2"/>
          <w:w w:val="95"/>
          <w:sz w:val="21"/>
        </w:rPr>
        <w:t>配送总费用计算方式</w:t>
      </w:r>
    </w:p>
    <w:p>
      <w:pPr>
        <w:pStyle w:val="BodyText"/>
        <w:spacing w:before="163"/>
        <w:ind w:left="638"/>
      </w:pPr>
      <w:r>
        <w:rPr>
          <w:w w:val="95"/>
        </w:rPr>
        <w:t>配送总费用=配送服</w:t>
      </w:r>
      <w:r>
        <w:rPr>
          <w:w w:val="95"/>
        </w:rPr>
        <w:t>务</w:t>
      </w:r>
      <w:r>
        <w:rPr>
          <w:w w:val="95"/>
        </w:rPr>
        <w:t>费</w:t>
      </w:r>
      <w:r>
        <w:rPr>
          <w:spacing w:val="-2"/>
          <w:w w:val="95"/>
        </w:rPr>
        <w:t>+用户配送费</w:t>
      </w:r>
    </w:p>
    <w:p>
      <w:pPr>
        <w:pStyle w:val="BodyText"/>
        <w:spacing w:line="278" w:lineRule="auto" w:before="43"/>
        <w:ind w:left="218" w:right="415" w:firstLine="420"/>
      </w:pPr>
      <w:r>
        <w:rPr>
          <w:spacing w:val="-6"/>
          <w:w w:val="99"/>
        </w:rPr>
        <w:t>上述配送总费用是指平台收取的所有配送费用之和，一般由商户承担的配送服务费和消费者承担的</w:t>
      </w:r>
      <w:r>
        <w:rPr>
          <w:spacing w:val="-1"/>
          <w:w w:val="99"/>
        </w:rPr>
        <w:t>用户配送费构成。</w:t>
      </w:r>
    </w:p>
    <w:p>
      <w:pPr>
        <w:spacing w:after="0" w:line="278" w:lineRule="auto"/>
        <w:sectPr>
          <w:pgSz w:w="11910" w:h="16840"/>
          <w:pgMar w:header="1449" w:footer="1141" w:top="1640" w:bottom="1340" w:left="1200" w:right="720"/>
        </w:sectPr>
      </w:pPr>
    </w:p>
    <w:p>
      <w:pPr>
        <w:pStyle w:val="BodyText"/>
        <w:rPr>
          <w:sz w:val="20"/>
        </w:rPr>
      </w:pPr>
    </w:p>
    <w:p>
      <w:pPr>
        <w:pStyle w:val="BodyText"/>
        <w:rPr>
          <w:sz w:val="20"/>
        </w:rPr>
      </w:pPr>
    </w:p>
    <w:p>
      <w:pPr>
        <w:pStyle w:val="BodyText"/>
        <w:spacing w:before="11"/>
        <w:rPr>
          <w:sz w:val="20"/>
        </w:rPr>
      </w:pPr>
    </w:p>
    <w:p>
      <w:pPr>
        <w:pStyle w:val="BodyText"/>
        <w:tabs>
          <w:tab w:pos="921" w:val="left" w:leader="none"/>
        </w:tabs>
        <w:spacing w:before="70"/>
        <w:ind w:right="293"/>
        <w:jc w:val="center"/>
        <w:rPr>
          <w:rFonts w:ascii="黑体" w:eastAsia="黑体"/>
        </w:rPr>
      </w:pPr>
      <w:r>
        <w:rPr>
          <w:rFonts w:ascii="黑体" w:eastAsia="黑体"/>
        </w:rPr>
        <w:t>附</w:t>
      </w:r>
      <w:r>
        <w:rPr>
          <w:rFonts w:ascii="黑体" w:eastAsia="黑体"/>
          <w:spacing w:val="41"/>
          <w:w w:val="150"/>
        </w:rPr>
        <w:t> </w:t>
      </w:r>
      <w:r>
        <w:rPr>
          <w:rFonts w:ascii="黑体" w:eastAsia="黑体"/>
          <w:spacing w:val="-10"/>
        </w:rPr>
        <w:t>录</w:t>
      </w:r>
      <w:r>
        <w:rPr>
          <w:rFonts w:ascii="黑体" w:eastAsia="黑体"/>
        </w:rPr>
        <w:tab/>
      </w:r>
      <w:r>
        <w:rPr>
          <w:rFonts w:ascii="黑体" w:eastAsia="黑体"/>
          <w:spacing w:val="-10"/>
        </w:rPr>
        <w:t>B</w:t>
      </w:r>
    </w:p>
    <w:p>
      <w:pPr>
        <w:pStyle w:val="BodyText"/>
        <w:spacing w:before="43"/>
        <w:ind w:right="194"/>
        <w:jc w:val="center"/>
        <w:rPr>
          <w:rFonts w:ascii="黑体" w:eastAsia="黑体"/>
        </w:rPr>
      </w:pPr>
      <w:r>
        <w:rPr>
          <w:rFonts w:ascii="黑体" w:eastAsia="黑体"/>
          <w:w w:val="95"/>
        </w:rPr>
        <w:t>（资料性</w:t>
      </w:r>
      <w:r>
        <w:rPr>
          <w:rFonts w:ascii="黑体" w:eastAsia="黑体"/>
          <w:spacing w:val="-10"/>
          <w:w w:val="95"/>
        </w:rPr>
        <w:t>）</w:t>
      </w:r>
    </w:p>
    <w:p>
      <w:pPr>
        <w:pStyle w:val="BodyText"/>
        <w:spacing w:before="43"/>
        <w:ind w:left="97" w:right="293"/>
        <w:jc w:val="center"/>
        <w:rPr>
          <w:rFonts w:ascii="黑体" w:eastAsia="黑体"/>
        </w:rPr>
      </w:pPr>
      <w:r>
        <w:rPr>
          <w:rFonts w:ascii="黑体" w:eastAsia="黑体"/>
          <w:w w:val="95"/>
        </w:rPr>
        <w:t>餐饮外卖平台内商户场</w:t>
      </w:r>
      <w:bookmarkStart w:name="附录B（资料性）餐饮外卖平台内商户场所图片要求" w:id="75"/>
      <w:bookmarkEnd w:id="75"/>
      <w:r>
        <w:rPr>
          <w:rFonts w:ascii="黑体" w:eastAsia="黑体"/>
          <w:spacing w:val="2"/>
          <w:w w:val="99"/>
        </w:rPr>
      </w:r>
      <w:bookmarkStart w:name="_bookmark20" w:id="76"/>
      <w:bookmarkEnd w:id="76"/>
      <w:r>
        <w:rPr>
          <w:rFonts w:ascii="黑体" w:eastAsia="黑体"/>
          <w:spacing w:val="-2"/>
          <w:w w:val="95"/>
        </w:rPr>
        <w:t>所图片要求</w:t>
      </w:r>
    </w:p>
    <w:p>
      <w:pPr>
        <w:pStyle w:val="BodyText"/>
        <w:spacing w:before="7"/>
        <w:rPr>
          <w:rFonts w:ascii="黑体"/>
          <w:sz w:val="15"/>
        </w:rPr>
      </w:pPr>
    </w:p>
    <w:p>
      <w:pPr>
        <w:pStyle w:val="BodyText"/>
        <w:ind w:left="638"/>
      </w:pPr>
      <w:r>
        <w:rPr>
          <w:w w:val="95"/>
        </w:rPr>
        <w:t>餐饮外卖平台内商户的场所图片要求见表B.1</w:t>
      </w:r>
      <w:r>
        <w:rPr>
          <w:spacing w:val="-10"/>
          <w:w w:val="95"/>
        </w:rPr>
        <w:t>。</w:t>
      </w:r>
    </w:p>
    <w:p>
      <w:pPr>
        <w:pStyle w:val="BodyText"/>
        <w:spacing w:before="180"/>
        <w:ind w:left="115" w:right="177"/>
        <w:jc w:val="center"/>
        <w:rPr>
          <w:rFonts w:ascii="黑体" w:eastAsia="黑体"/>
        </w:rPr>
      </w:pPr>
      <w:r>
        <w:rPr>
          <w:rFonts w:ascii="黑体" w:eastAsia="黑体"/>
          <w:w w:val="95"/>
        </w:rPr>
        <w:t>表</w:t>
      </w:r>
      <w:r>
        <w:rPr>
          <w:rFonts w:ascii="黑体" w:eastAsia="黑体"/>
          <w:spacing w:val="-4"/>
        </w:rPr>
        <w:t> </w:t>
      </w:r>
      <w:r>
        <w:rPr>
          <w:rFonts w:ascii="黑体" w:eastAsia="黑体"/>
          <w:w w:val="95"/>
        </w:rPr>
        <w:t>B.1</w:t>
      </w:r>
      <w:r>
        <w:rPr>
          <w:rFonts w:ascii="黑体" w:eastAsia="黑体"/>
          <w:spacing w:val="45"/>
          <w:w w:val="150"/>
        </w:rPr>
        <w:t> </w:t>
      </w:r>
      <w:r>
        <w:rPr>
          <w:rFonts w:ascii="黑体" w:eastAsia="黑体"/>
          <w:spacing w:val="-1"/>
          <w:w w:val="95"/>
        </w:rPr>
        <w:t>餐饮外卖平台内商户场所图片要求</w:t>
      </w:r>
    </w:p>
    <w:p>
      <w:pPr>
        <w:pStyle w:val="BodyText"/>
        <w:spacing w:before="4"/>
        <w:rPr>
          <w:rFonts w:ascii="黑体"/>
          <w:sz w:val="12"/>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20"/>
        <w:gridCol w:w="1095"/>
        <w:gridCol w:w="7855"/>
      </w:tblGrid>
      <w:tr>
        <w:trPr>
          <w:trHeight w:val="341" w:hRule="atLeast"/>
        </w:trPr>
        <w:tc>
          <w:tcPr>
            <w:tcW w:w="620" w:type="dxa"/>
            <w:tcBorders>
              <w:right w:val="single" w:sz="4" w:space="0" w:color="000000"/>
            </w:tcBorders>
          </w:tcPr>
          <w:p>
            <w:pPr>
              <w:pStyle w:val="TableParagraph"/>
              <w:spacing w:before="55"/>
              <w:ind w:left="117" w:right="98"/>
              <w:rPr>
                <w:sz w:val="18"/>
              </w:rPr>
            </w:pPr>
            <w:bookmarkStart w:name="序号" w:id="77"/>
            <w:bookmarkEnd w:id="77"/>
            <w:r>
              <w:rPr/>
            </w:r>
            <w:r>
              <w:rPr>
                <w:spacing w:val="-5"/>
                <w:sz w:val="18"/>
              </w:rPr>
              <w:t>序号</w:t>
            </w:r>
          </w:p>
        </w:tc>
        <w:tc>
          <w:tcPr>
            <w:tcW w:w="1095" w:type="dxa"/>
            <w:tcBorders>
              <w:left w:val="single" w:sz="4" w:space="0" w:color="000000"/>
              <w:right w:val="single" w:sz="4" w:space="0" w:color="000000"/>
            </w:tcBorders>
          </w:tcPr>
          <w:p>
            <w:pPr>
              <w:pStyle w:val="TableParagraph"/>
              <w:spacing w:before="55"/>
              <w:ind w:left="371"/>
              <w:jc w:val="left"/>
              <w:rPr>
                <w:sz w:val="18"/>
              </w:rPr>
            </w:pPr>
            <w:bookmarkStart w:name="位置" w:id="78"/>
            <w:bookmarkEnd w:id="78"/>
            <w:r>
              <w:rPr/>
            </w:r>
            <w:r>
              <w:rPr>
                <w:spacing w:val="-5"/>
                <w:sz w:val="18"/>
              </w:rPr>
              <w:t>位置</w:t>
            </w:r>
          </w:p>
        </w:tc>
        <w:tc>
          <w:tcPr>
            <w:tcW w:w="7855" w:type="dxa"/>
            <w:tcBorders>
              <w:left w:val="single" w:sz="4" w:space="0" w:color="000000"/>
            </w:tcBorders>
          </w:tcPr>
          <w:p>
            <w:pPr>
              <w:pStyle w:val="TableParagraph"/>
              <w:spacing w:before="55"/>
              <w:ind w:left="219" w:right="200"/>
              <w:rPr>
                <w:sz w:val="18"/>
              </w:rPr>
            </w:pPr>
            <w:bookmarkStart w:name="图片要求" w:id="79"/>
            <w:bookmarkEnd w:id="79"/>
            <w:r>
              <w:rPr/>
            </w:r>
            <w:r>
              <w:rPr>
                <w:spacing w:val="-3"/>
                <w:sz w:val="18"/>
              </w:rPr>
              <w:t>图片要求</w:t>
            </w:r>
          </w:p>
        </w:tc>
      </w:tr>
      <w:tr>
        <w:trPr>
          <w:trHeight w:val="340" w:hRule="atLeast"/>
        </w:trPr>
        <w:tc>
          <w:tcPr>
            <w:tcW w:w="620" w:type="dxa"/>
            <w:tcBorders>
              <w:bottom w:val="single" w:sz="4" w:space="0" w:color="000000"/>
              <w:right w:val="single" w:sz="4" w:space="0" w:color="000000"/>
            </w:tcBorders>
          </w:tcPr>
          <w:p>
            <w:pPr>
              <w:pStyle w:val="TableParagraph"/>
              <w:spacing w:before="54"/>
              <w:ind w:left="18"/>
              <w:rPr>
                <w:sz w:val="18"/>
              </w:rPr>
            </w:pPr>
            <w:bookmarkStart w:name="1" w:id="80"/>
            <w:bookmarkEnd w:id="80"/>
            <w:r>
              <w:rPr/>
            </w:r>
            <w:r>
              <w:rPr>
                <w:sz w:val="18"/>
              </w:rPr>
              <w:t>1</w:t>
            </w:r>
          </w:p>
        </w:tc>
        <w:tc>
          <w:tcPr>
            <w:tcW w:w="1095" w:type="dxa"/>
            <w:vMerge w:val="restart"/>
            <w:tcBorders>
              <w:left w:val="single" w:sz="4" w:space="0" w:color="000000"/>
              <w:bottom w:val="single" w:sz="4" w:space="0" w:color="000000"/>
              <w:right w:val="single" w:sz="4" w:space="0" w:color="000000"/>
            </w:tcBorders>
          </w:tcPr>
          <w:p>
            <w:pPr>
              <w:pStyle w:val="TableParagraph"/>
              <w:jc w:val="left"/>
              <w:rPr>
                <w:rFonts w:ascii="黑体"/>
                <w:sz w:val="18"/>
              </w:rPr>
            </w:pPr>
          </w:p>
          <w:p>
            <w:pPr>
              <w:pStyle w:val="TableParagraph"/>
              <w:jc w:val="left"/>
              <w:rPr>
                <w:rFonts w:ascii="黑体"/>
                <w:sz w:val="18"/>
              </w:rPr>
            </w:pPr>
          </w:p>
          <w:p>
            <w:pPr>
              <w:pStyle w:val="TableParagraph"/>
              <w:jc w:val="left"/>
              <w:rPr>
                <w:rFonts w:ascii="黑体"/>
                <w:sz w:val="18"/>
              </w:rPr>
            </w:pPr>
          </w:p>
          <w:p>
            <w:pPr>
              <w:pStyle w:val="TableParagraph"/>
              <w:jc w:val="left"/>
              <w:rPr>
                <w:rFonts w:ascii="黑体"/>
                <w:sz w:val="18"/>
              </w:rPr>
            </w:pPr>
          </w:p>
          <w:p>
            <w:pPr>
              <w:pStyle w:val="TableParagraph"/>
              <w:spacing w:before="116"/>
              <w:ind w:left="282"/>
              <w:jc w:val="left"/>
              <w:rPr>
                <w:sz w:val="18"/>
              </w:rPr>
            </w:pPr>
            <w:bookmarkStart w:name="门脸照" w:id="81"/>
            <w:bookmarkEnd w:id="81"/>
            <w:r>
              <w:rPr/>
            </w:r>
            <w:bookmarkStart w:name="2" w:id="82"/>
            <w:bookmarkEnd w:id="82"/>
            <w:r>
              <w:rPr/>
            </w:r>
            <w:bookmarkStart w:name="3" w:id="83"/>
            <w:bookmarkEnd w:id="83"/>
            <w:r>
              <w:rPr/>
            </w:r>
            <w:bookmarkStart w:name="4" w:id="84"/>
            <w:bookmarkEnd w:id="84"/>
            <w:r>
              <w:rPr/>
            </w:r>
            <w:r>
              <w:rPr>
                <w:spacing w:val="-4"/>
                <w:sz w:val="18"/>
              </w:rPr>
              <w:t>门脸照</w:t>
            </w:r>
          </w:p>
        </w:tc>
        <w:tc>
          <w:tcPr>
            <w:tcW w:w="7855" w:type="dxa"/>
            <w:tcBorders>
              <w:left w:val="single" w:sz="4" w:space="0" w:color="000000"/>
              <w:bottom w:val="single" w:sz="4" w:space="0" w:color="000000"/>
            </w:tcBorders>
          </w:tcPr>
          <w:p>
            <w:pPr>
              <w:pStyle w:val="TableParagraph"/>
              <w:spacing w:before="54"/>
              <w:ind w:left="217" w:right="200"/>
              <w:rPr>
                <w:sz w:val="18"/>
              </w:rPr>
            </w:pPr>
            <w:bookmarkStart w:name="应清晰、明亮；图片应包括完整牌匾及完整正门" w:id="85"/>
            <w:bookmarkEnd w:id="85"/>
            <w:r>
              <w:rPr/>
            </w:r>
            <w:r>
              <w:rPr>
                <w:spacing w:val="-1"/>
                <w:sz w:val="18"/>
              </w:rPr>
              <w:t>应清晰、明亮；图片应包括完整牌匾及完整正门</w:t>
            </w:r>
          </w:p>
        </w:tc>
      </w:tr>
      <w:tr>
        <w:trPr>
          <w:trHeight w:val="335" w:hRule="atLeast"/>
        </w:trPr>
        <w:tc>
          <w:tcPr>
            <w:tcW w:w="620" w:type="dxa"/>
            <w:tcBorders>
              <w:top w:val="single" w:sz="4" w:space="0" w:color="000000"/>
              <w:bottom w:val="single" w:sz="4" w:space="0" w:color="000000"/>
              <w:right w:val="single" w:sz="4" w:space="0" w:color="000000"/>
            </w:tcBorders>
          </w:tcPr>
          <w:p>
            <w:pPr>
              <w:pStyle w:val="TableParagraph"/>
              <w:spacing w:before="52"/>
              <w:ind w:left="18"/>
              <w:rPr>
                <w:sz w:val="18"/>
              </w:rPr>
            </w:pPr>
            <w:r>
              <w:rPr>
                <w:sz w:val="18"/>
              </w:rPr>
              <w:t>2</w:t>
            </w:r>
          </w:p>
        </w:tc>
        <w:tc>
          <w:tcPr>
            <w:tcW w:w="1095" w:type="dxa"/>
            <w:vMerge/>
            <w:tcBorders>
              <w:top w:val="nil"/>
              <w:left w:val="single" w:sz="4" w:space="0" w:color="000000"/>
              <w:bottom w:val="single" w:sz="4" w:space="0" w:color="000000"/>
              <w:right w:val="single" w:sz="4" w:space="0" w:color="000000"/>
            </w:tcBorders>
          </w:tcPr>
          <w:p>
            <w:pPr>
              <w:rPr>
                <w:sz w:val="2"/>
                <w:szCs w:val="2"/>
              </w:rPr>
            </w:pPr>
          </w:p>
        </w:tc>
        <w:tc>
          <w:tcPr>
            <w:tcW w:w="7855" w:type="dxa"/>
            <w:tcBorders>
              <w:top w:val="single" w:sz="4" w:space="0" w:color="000000"/>
              <w:left w:val="single" w:sz="4" w:space="0" w:color="000000"/>
              <w:bottom w:val="single" w:sz="4" w:space="0" w:color="000000"/>
            </w:tcBorders>
          </w:tcPr>
          <w:p>
            <w:pPr>
              <w:pStyle w:val="TableParagraph"/>
              <w:spacing w:before="52"/>
              <w:ind w:left="219" w:right="200"/>
              <w:rPr>
                <w:sz w:val="18"/>
              </w:rPr>
            </w:pPr>
            <w:bookmarkStart w:name="牌匾名称应与线上商户名称主体一致" w:id="86"/>
            <w:bookmarkEnd w:id="86"/>
            <w:r>
              <w:rPr/>
            </w:r>
            <w:r>
              <w:rPr>
                <w:spacing w:val="-1"/>
                <w:sz w:val="18"/>
              </w:rPr>
              <w:t>牌匾名称应与线上商户名称主体一致</w:t>
            </w:r>
          </w:p>
        </w:tc>
      </w:tr>
      <w:tr>
        <w:trPr>
          <w:trHeight w:val="340" w:hRule="atLeast"/>
        </w:trPr>
        <w:tc>
          <w:tcPr>
            <w:tcW w:w="620" w:type="dxa"/>
            <w:tcBorders>
              <w:top w:val="single" w:sz="4" w:space="0" w:color="000000"/>
              <w:bottom w:val="single" w:sz="4" w:space="0" w:color="000000"/>
              <w:right w:val="single" w:sz="4" w:space="0" w:color="000000"/>
            </w:tcBorders>
          </w:tcPr>
          <w:p>
            <w:pPr>
              <w:pStyle w:val="TableParagraph"/>
              <w:spacing w:before="54"/>
              <w:ind w:left="18"/>
              <w:rPr>
                <w:sz w:val="18"/>
              </w:rPr>
            </w:pPr>
            <w:r>
              <w:rPr>
                <w:sz w:val="18"/>
              </w:rPr>
              <w:t>3</w:t>
            </w:r>
          </w:p>
        </w:tc>
        <w:tc>
          <w:tcPr>
            <w:tcW w:w="1095" w:type="dxa"/>
            <w:vMerge/>
            <w:tcBorders>
              <w:top w:val="nil"/>
              <w:left w:val="single" w:sz="4" w:space="0" w:color="000000"/>
              <w:bottom w:val="single" w:sz="4" w:space="0" w:color="000000"/>
              <w:right w:val="single" w:sz="4" w:space="0" w:color="000000"/>
            </w:tcBorders>
          </w:tcPr>
          <w:p>
            <w:pPr>
              <w:rPr>
                <w:sz w:val="2"/>
                <w:szCs w:val="2"/>
              </w:rPr>
            </w:pPr>
          </w:p>
        </w:tc>
        <w:tc>
          <w:tcPr>
            <w:tcW w:w="7855" w:type="dxa"/>
            <w:tcBorders>
              <w:top w:val="single" w:sz="4" w:space="0" w:color="000000"/>
              <w:left w:val="single" w:sz="4" w:space="0" w:color="000000"/>
              <w:bottom w:val="single" w:sz="4" w:space="0" w:color="000000"/>
            </w:tcBorders>
          </w:tcPr>
          <w:p>
            <w:pPr>
              <w:pStyle w:val="TableParagraph"/>
              <w:spacing w:before="54"/>
              <w:ind w:left="219" w:right="200"/>
              <w:rPr>
                <w:sz w:val="18"/>
              </w:rPr>
            </w:pPr>
            <w:bookmarkStart w:name="拍摄时应为开门营业状态，不应关闭卷帘铁门，不应标示“暂不营业”“正在装修”“转让" w:id="87"/>
            <w:bookmarkEnd w:id="87"/>
            <w:r>
              <w:rPr/>
            </w:r>
            <w:r>
              <w:rPr>
                <w:spacing w:val="-2"/>
                <w:sz w:val="18"/>
              </w:rPr>
              <w:t>拍摄时应为开门营业状态，不应关闭卷帘铁门，不应标示</w:t>
            </w:r>
            <w:r>
              <w:rPr>
                <w:rFonts w:ascii="Times New Roman" w:hAnsi="Times New Roman" w:eastAsia="Times New Roman"/>
                <w:spacing w:val="-2"/>
                <w:sz w:val="18"/>
              </w:rPr>
              <w:t>“</w:t>
            </w:r>
            <w:r>
              <w:rPr>
                <w:spacing w:val="-2"/>
                <w:sz w:val="18"/>
              </w:rPr>
              <w:t>暂不营业</w:t>
            </w:r>
            <w:r>
              <w:rPr>
                <w:rFonts w:ascii="Times New Roman" w:hAnsi="Times New Roman" w:eastAsia="Times New Roman"/>
                <w:spacing w:val="-2"/>
                <w:sz w:val="18"/>
              </w:rPr>
              <w:t>”“</w:t>
            </w:r>
            <w:r>
              <w:rPr>
                <w:spacing w:val="-2"/>
                <w:sz w:val="18"/>
              </w:rPr>
              <w:t>正在装修</w:t>
            </w:r>
            <w:r>
              <w:rPr>
                <w:rFonts w:ascii="Times New Roman" w:hAnsi="Times New Roman" w:eastAsia="Times New Roman"/>
                <w:spacing w:val="-2"/>
                <w:sz w:val="18"/>
              </w:rPr>
              <w:t>”“</w:t>
            </w:r>
            <w:r>
              <w:rPr>
                <w:spacing w:val="-2"/>
                <w:sz w:val="18"/>
              </w:rPr>
              <w:t>转让</w:t>
            </w:r>
            <w:r>
              <w:rPr>
                <w:rFonts w:ascii="Times New Roman" w:hAnsi="Times New Roman" w:eastAsia="Times New Roman"/>
                <w:spacing w:val="-2"/>
                <w:sz w:val="18"/>
              </w:rPr>
              <w:t>”“</w:t>
            </w:r>
            <w:r>
              <w:rPr>
                <w:spacing w:val="-2"/>
                <w:sz w:val="18"/>
              </w:rPr>
              <w:t>关闭</w:t>
            </w:r>
            <w:r>
              <w:rPr>
                <w:rFonts w:ascii="Times New Roman" w:hAnsi="Times New Roman" w:eastAsia="Times New Roman"/>
                <w:spacing w:val="-2"/>
                <w:sz w:val="18"/>
              </w:rPr>
              <w:t>”</w:t>
            </w:r>
            <w:r>
              <w:rPr>
                <w:spacing w:val="-10"/>
                <w:sz w:val="18"/>
              </w:rPr>
              <w:t>等</w:t>
            </w:r>
          </w:p>
        </w:tc>
      </w:tr>
      <w:tr>
        <w:trPr>
          <w:trHeight w:val="335" w:hRule="atLeast"/>
        </w:trPr>
        <w:tc>
          <w:tcPr>
            <w:tcW w:w="620" w:type="dxa"/>
            <w:tcBorders>
              <w:top w:val="single" w:sz="4" w:space="0" w:color="000000"/>
              <w:bottom w:val="single" w:sz="4" w:space="0" w:color="000000"/>
              <w:right w:val="single" w:sz="4" w:space="0" w:color="000000"/>
            </w:tcBorders>
          </w:tcPr>
          <w:p>
            <w:pPr>
              <w:pStyle w:val="TableParagraph"/>
              <w:spacing w:before="52"/>
              <w:ind w:left="18"/>
              <w:rPr>
                <w:sz w:val="18"/>
              </w:rPr>
            </w:pPr>
            <w:r>
              <w:rPr>
                <w:sz w:val="18"/>
              </w:rPr>
              <w:t>4</w:t>
            </w:r>
          </w:p>
        </w:tc>
        <w:tc>
          <w:tcPr>
            <w:tcW w:w="1095" w:type="dxa"/>
            <w:vMerge/>
            <w:tcBorders>
              <w:top w:val="nil"/>
              <w:left w:val="single" w:sz="4" w:space="0" w:color="000000"/>
              <w:bottom w:val="single" w:sz="4" w:space="0" w:color="000000"/>
              <w:right w:val="single" w:sz="4" w:space="0" w:color="000000"/>
            </w:tcBorders>
          </w:tcPr>
          <w:p>
            <w:pPr>
              <w:rPr>
                <w:sz w:val="2"/>
                <w:szCs w:val="2"/>
              </w:rPr>
            </w:pPr>
          </w:p>
        </w:tc>
        <w:tc>
          <w:tcPr>
            <w:tcW w:w="7855" w:type="dxa"/>
            <w:tcBorders>
              <w:top w:val="single" w:sz="4" w:space="0" w:color="000000"/>
              <w:left w:val="single" w:sz="4" w:space="0" w:color="000000"/>
              <w:bottom w:val="single" w:sz="4" w:space="0" w:color="000000"/>
            </w:tcBorders>
          </w:tcPr>
          <w:p>
            <w:pPr>
              <w:pStyle w:val="TableParagraph"/>
              <w:spacing w:before="52"/>
              <w:ind w:left="217" w:right="200"/>
              <w:rPr>
                <w:sz w:val="18"/>
              </w:rPr>
            </w:pPr>
            <w:bookmarkStart w:name="不应用图像处理软件对图片进行编修、篡改、涂抹等处理" w:id="88"/>
            <w:bookmarkEnd w:id="88"/>
            <w:r>
              <w:rPr/>
            </w:r>
            <w:r>
              <w:rPr>
                <w:spacing w:val="-1"/>
                <w:sz w:val="18"/>
              </w:rPr>
              <w:t>不应用图像处理软件对图片进行编修、篡改、涂抹等处理</w:t>
            </w:r>
          </w:p>
        </w:tc>
      </w:tr>
      <w:tr>
        <w:trPr>
          <w:trHeight w:val="280" w:hRule="atLeast"/>
        </w:trPr>
        <w:tc>
          <w:tcPr>
            <w:tcW w:w="620" w:type="dxa"/>
            <w:tcBorders>
              <w:top w:val="single" w:sz="4" w:space="0" w:color="000000"/>
              <w:bottom w:val="single" w:sz="4" w:space="0" w:color="000000"/>
              <w:right w:val="single" w:sz="4" w:space="0" w:color="000000"/>
            </w:tcBorders>
          </w:tcPr>
          <w:p>
            <w:pPr>
              <w:pStyle w:val="TableParagraph"/>
              <w:spacing w:before="26"/>
              <w:ind w:left="18"/>
              <w:rPr>
                <w:sz w:val="18"/>
              </w:rPr>
            </w:pPr>
            <w:bookmarkStart w:name="5" w:id="89"/>
            <w:bookmarkEnd w:id="89"/>
            <w:r>
              <w:rPr/>
            </w:r>
            <w:r>
              <w:rPr>
                <w:sz w:val="18"/>
              </w:rPr>
              <w:t>5</w:t>
            </w:r>
          </w:p>
        </w:tc>
        <w:tc>
          <w:tcPr>
            <w:tcW w:w="1095" w:type="dxa"/>
            <w:vMerge/>
            <w:tcBorders>
              <w:top w:val="nil"/>
              <w:left w:val="single" w:sz="4" w:space="0" w:color="000000"/>
              <w:bottom w:val="single" w:sz="4" w:space="0" w:color="000000"/>
              <w:right w:val="single" w:sz="4" w:space="0" w:color="000000"/>
            </w:tcBorders>
          </w:tcPr>
          <w:p>
            <w:pPr>
              <w:rPr>
                <w:sz w:val="2"/>
                <w:szCs w:val="2"/>
              </w:rPr>
            </w:pPr>
          </w:p>
        </w:tc>
        <w:tc>
          <w:tcPr>
            <w:tcW w:w="7855" w:type="dxa"/>
            <w:tcBorders>
              <w:top w:val="single" w:sz="4" w:space="0" w:color="000000"/>
              <w:left w:val="single" w:sz="4" w:space="0" w:color="000000"/>
              <w:bottom w:val="single" w:sz="4" w:space="0" w:color="000000"/>
            </w:tcBorders>
          </w:tcPr>
          <w:p>
            <w:pPr>
              <w:pStyle w:val="TableParagraph"/>
              <w:spacing w:before="26"/>
              <w:ind w:left="217" w:right="200"/>
              <w:rPr>
                <w:sz w:val="18"/>
              </w:rPr>
            </w:pPr>
            <w:bookmarkStart w:name="不应为网络图片、手机截图或带有水印" w:id="90"/>
            <w:bookmarkEnd w:id="90"/>
            <w:r>
              <w:rPr/>
            </w:r>
            <w:r>
              <w:rPr>
                <w:spacing w:val="-1"/>
                <w:sz w:val="18"/>
              </w:rPr>
              <w:t>不应为网络图片、手机截图或带有水印</w:t>
            </w:r>
          </w:p>
        </w:tc>
      </w:tr>
      <w:tr>
        <w:trPr>
          <w:trHeight w:val="280" w:hRule="atLeast"/>
        </w:trPr>
        <w:tc>
          <w:tcPr>
            <w:tcW w:w="620" w:type="dxa"/>
            <w:tcBorders>
              <w:top w:val="single" w:sz="4" w:space="0" w:color="000000"/>
              <w:bottom w:val="single" w:sz="4" w:space="0" w:color="000000"/>
              <w:right w:val="single" w:sz="4" w:space="0" w:color="000000"/>
            </w:tcBorders>
          </w:tcPr>
          <w:p>
            <w:pPr>
              <w:pStyle w:val="TableParagraph"/>
              <w:spacing w:before="26"/>
              <w:ind w:left="18"/>
              <w:rPr>
                <w:sz w:val="18"/>
              </w:rPr>
            </w:pPr>
            <w:bookmarkStart w:name="6" w:id="91"/>
            <w:bookmarkEnd w:id="91"/>
            <w:r>
              <w:rPr/>
            </w:r>
            <w:r>
              <w:rPr>
                <w:sz w:val="18"/>
              </w:rPr>
              <w:t>6</w:t>
            </w:r>
          </w:p>
        </w:tc>
        <w:tc>
          <w:tcPr>
            <w:tcW w:w="1095" w:type="dxa"/>
            <w:vMerge/>
            <w:tcBorders>
              <w:top w:val="nil"/>
              <w:left w:val="single" w:sz="4" w:space="0" w:color="000000"/>
              <w:bottom w:val="single" w:sz="4" w:space="0" w:color="000000"/>
              <w:right w:val="single" w:sz="4" w:space="0" w:color="000000"/>
            </w:tcBorders>
          </w:tcPr>
          <w:p>
            <w:pPr>
              <w:rPr>
                <w:sz w:val="2"/>
                <w:szCs w:val="2"/>
              </w:rPr>
            </w:pPr>
          </w:p>
        </w:tc>
        <w:tc>
          <w:tcPr>
            <w:tcW w:w="7855" w:type="dxa"/>
            <w:tcBorders>
              <w:top w:val="single" w:sz="4" w:space="0" w:color="000000"/>
              <w:left w:val="single" w:sz="4" w:space="0" w:color="000000"/>
              <w:bottom w:val="single" w:sz="4" w:space="0" w:color="000000"/>
            </w:tcBorders>
          </w:tcPr>
          <w:p>
            <w:pPr>
              <w:pStyle w:val="TableParagraph"/>
              <w:spacing w:before="26"/>
              <w:ind w:left="219" w:right="200"/>
              <w:rPr>
                <w:sz w:val="18"/>
              </w:rPr>
            </w:pPr>
            <w:bookmarkStart w:name="不应利用人工智能技术生成合成图片" w:id="92"/>
            <w:bookmarkEnd w:id="92"/>
            <w:r>
              <w:rPr/>
            </w:r>
            <w:r>
              <w:rPr>
                <w:spacing w:val="-1"/>
                <w:sz w:val="18"/>
              </w:rPr>
              <w:t>不应利用人工智能技术生成合成图片</w:t>
            </w:r>
          </w:p>
        </w:tc>
      </w:tr>
      <w:tr>
        <w:trPr>
          <w:trHeight w:val="336" w:hRule="atLeast"/>
        </w:trPr>
        <w:tc>
          <w:tcPr>
            <w:tcW w:w="620" w:type="dxa"/>
            <w:tcBorders>
              <w:top w:val="single" w:sz="4" w:space="0" w:color="000000"/>
              <w:bottom w:val="single" w:sz="4" w:space="0" w:color="000000"/>
              <w:right w:val="single" w:sz="4" w:space="0" w:color="000000"/>
            </w:tcBorders>
          </w:tcPr>
          <w:p>
            <w:pPr>
              <w:pStyle w:val="TableParagraph"/>
              <w:spacing w:before="53"/>
              <w:ind w:left="18"/>
              <w:rPr>
                <w:sz w:val="18"/>
              </w:rPr>
            </w:pPr>
            <w:bookmarkStart w:name="7" w:id="93"/>
            <w:bookmarkEnd w:id="93"/>
            <w:r>
              <w:rPr/>
            </w:r>
            <w:r>
              <w:rPr>
                <w:sz w:val="18"/>
              </w:rPr>
              <w:t>7</w:t>
            </w:r>
          </w:p>
        </w:tc>
        <w:tc>
          <w:tcPr>
            <w:tcW w:w="1095" w:type="dxa"/>
            <w:vMerge/>
            <w:tcBorders>
              <w:top w:val="nil"/>
              <w:left w:val="single" w:sz="4" w:space="0" w:color="000000"/>
              <w:bottom w:val="single" w:sz="4" w:space="0" w:color="000000"/>
              <w:right w:val="single" w:sz="4" w:space="0" w:color="000000"/>
            </w:tcBorders>
          </w:tcPr>
          <w:p>
            <w:pPr>
              <w:rPr>
                <w:sz w:val="2"/>
                <w:szCs w:val="2"/>
              </w:rPr>
            </w:pPr>
          </w:p>
        </w:tc>
        <w:tc>
          <w:tcPr>
            <w:tcW w:w="7855" w:type="dxa"/>
            <w:tcBorders>
              <w:top w:val="single" w:sz="4" w:space="0" w:color="000000"/>
              <w:left w:val="single" w:sz="4" w:space="0" w:color="000000"/>
              <w:bottom w:val="single" w:sz="4" w:space="0" w:color="000000"/>
            </w:tcBorders>
          </w:tcPr>
          <w:p>
            <w:pPr>
              <w:pStyle w:val="TableParagraph"/>
              <w:spacing w:before="53"/>
              <w:ind w:left="219" w:right="200"/>
              <w:rPr>
                <w:sz w:val="18"/>
              </w:rPr>
            </w:pPr>
            <w:bookmarkStart w:name="应有固定经营场所，不应为流动餐车或无固定门店" w:id="94"/>
            <w:bookmarkEnd w:id="94"/>
            <w:r>
              <w:rPr/>
            </w:r>
            <w:r>
              <w:rPr>
                <w:spacing w:val="-1"/>
                <w:sz w:val="18"/>
              </w:rPr>
              <w:t>应有固定经营场所，不应为流动餐车或无固定门店</w:t>
            </w:r>
          </w:p>
        </w:tc>
      </w:tr>
      <w:tr>
        <w:trPr>
          <w:trHeight w:val="336" w:hRule="atLeast"/>
        </w:trPr>
        <w:tc>
          <w:tcPr>
            <w:tcW w:w="620" w:type="dxa"/>
            <w:tcBorders>
              <w:top w:val="single" w:sz="4" w:space="0" w:color="000000"/>
              <w:bottom w:val="single" w:sz="4" w:space="0" w:color="000000"/>
              <w:right w:val="single" w:sz="4" w:space="0" w:color="000000"/>
            </w:tcBorders>
          </w:tcPr>
          <w:p>
            <w:pPr>
              <w:pStyle w:val="TableParagraph"/>
              <w:spacing w:before="52"/>
              <w:ind w:left="18"/>
              <w:rPr>
                <w:sz w:val="18"/>
              </w:rPr>
            </w:pPr>
            <w:bookmarkStart w:name="8" w:id="95"/>
            <w:bookmarkEnd w:id="95"/>
            <w:r>
              <w:rPr/>
            </w:r>
            <w:r>
              <w:rPr>
                <w:sz w:val="18"/>
              </w:rPr>
              <w:t>8</w:t>
            </w:r>
          </w:p>
        </w:tc>
        <w:tc>
          <w:tcPr>
            <w:tcW w:w="1095"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黑体"/>
                <w:sz w:val="18"/>
              </w:rPr>
            </w:pPr>
          </w:p>
          <w:p>
            <w:pPr>
              <w:pStyle w:val="TableParagraph"/>
              <w:jc w:val="left"/>
              <w:rPr>
                <w:rFonts w:ascii="黑体"/>
                <w:sz w:val="18"/>
              </w:rPr>
            </w:pPr>
          </w:p>
          <w:p>
            <w:pPr>
              <w:pStyle w:val="TableParagraph"/>
              <w:jc w:val="left"/>
              <w:rPr>
                <w:rFonts w:ascii="黑体"/>
                <w:sz w:val="18"/>
              </w:rPr>
            </w:pPr>
          </w:p>
          <w:p>
            <w:pPr>
              <w:pStyle w:val="TableParagraph"/>
              <w:spacing w:before="9"/>
              <w:jc w:val="left"/>
              <w:rPr>
                <w:rFonts w:ascii="黑体"/>
                <w:sz w:val="17"/>
              </w:rPr>
            </w:pPr>
          </w:p>
          <w:p>
            <w:pPr>
              <w:pStyle w:val="TableParagraph"/>
              <w:ind w:left="282"/>
              <w:jc w:val="left"/>
              <w:rPr>
                <w:sz w:val="18"/>
              </w:rPr>
            </w:pPr>
            <w:bookmarkStart w:name="环境照" w:id="96"/>
            <w:bookmarkEnd w:id="96"/>
            <w:r>
              <w:rPr/>
            </w:r>
            <w:bookmarkStart w:name="9" w:id="97"/>
            <w:bookmarkEnd w:id="97"/>
            <w:r>
              <w:rPr/>
            </w:r>
            <w:bookmarkStart w:name="10" w:id="98"/>
            <w:bookmarkEnd w:id="98"/>
            <w:r>
              <w:rPr/>
            </w:r>
            <w:bookmarkStart w:name="11" w:id="99"/>
            <w:bookmarkEnd w:id="99"/>
            <w:r>
              <w:rPr/>
            </w:r>
            <w:r>
              <w:rPr>
                <w:spacing w:val="-4"/>
                <w:sz w:val="18"/>
              </w:rPr>
              <w:t>环境照</w:t>
            </w:r>
          </w:p>
        </w:tc>
        <w:tc>
          <w:tcPr>
            <w:tcW w:w="7855" w:type="dxa"/>
            <w:tcBorders>
              <w:top w:val="single" w:sz="4" w:space="0" w:color="000000"/>
              <w:left w:val="single" w:sz="4" w:space="0" w:color="000000"/>
              <w:bottom w:val="single" w:sz="4" w:space="0" w:color="000000"/>
            </w:tcBorders>
          </w:tcPr>
          <w:p>
            <w:pPr>
              <w:pStyle w:val="TableParagraph"/>
              <w:spacing w:before="52"/>
              <w:ind w:left="217" w:right="200"/>
              <w:rPr>
                <w:sz w:val="18"/>
              </w:rPr>
            </w:pPr>
            <w:bookmarkStart w:name="应呈现清晰、明亮、真实的就餐环境图" w:id="100"/>
            <w:bookmarkEnd w:id="100"/>
            <w:r>
              <w:rPr/>
            </w:r>
            <w:r>
              <w:rPr>
                <w:spacing w:val="-1"/>
                <w:sz w:val="18"/>
              </w:rPr>
              <w:t>应呈现清晰、明亮、真实的就餐环境图</w:t>
            </w:r>
          </w:p>
        </w:tc>
      </w:tr>
      <w:tr>
        <w:trPr>
          <w:trHeight w:val="335" w:hRule="atLeast"/>
        </w:trPr>
        <w:tc>
          <w:tcPr>
            <w:tcW w:w="620" w:type="dxa"/>
            <w:tcBorders>
              <w:top w:val="single" w:sz="4" w:space="0" w:color="000000"/>
              <w:bottom w:val="single" w:sz="4" w:space="0" w:color="000000"/>
              <w:right w:val="single" w:sz="4" w:space="0" w:color="000000"/>
            </w:tcBorders>
          </w:tcPr>
          <w:p>
            <w:pPr>
              <w:pStyle w:val="TableParagraph"/>
              <w:spacing w:before="52"/>
              <w:ind w:left="18"/>
              <w:rPr>
                <w:sz w:val="18"/>
              </w:rPr>
            </w:pPr>
            <w:r>
              <w:rPr>
                <w:sz w:val="18"/>
              </w:rPr>
              <w:t>9</w:t>
            </w:r>
          </w:p>
        </w:tc>
        <w:tc>
          <w:tcPr>
            <w:tcW w:w="1095" w:type="dxa"/>
            <w:vMerge/>
            <w:tcBorders>
              <w:top w:val="nil"/>
              <w:left w:val="single" w:sz="4" w:space="0" w:color="000000"/>
              <w:bottom w:val="single" w:sz="4" w:space="0" w:color="000000"/>
              <w:right w:val="single" w:sz="4" w:space="0" w:color="000000"/>
            </w:tcBorders>
          </w:tcPr>
          <w:p>
            <w:pPr>
              <w:rPr>
                <w:sz w:val="2"/>
                <w:szCs w:val="2"/>
              </w:rPr>
            </w:pPr>
          </w:p>
        </w:tc>
        <w:tc>
          <w:tcPr>
            <w:tcW w:w="7855" w:type="dxa"/>
            <w:tcBorders>
              <w:top w:val="single" w:sz="4" w:space="0" w:color="000000"/>
              <w:left w:val="single" w:sz="4" w:space="0" w:color="000000"/>
              <w:bottom w:val="single" w:sz="4" w:space="0" w:color="000000"/>
            </w:tcBorders>
          </w:tcPr>
          <w:p>
            <w:pPr>
              <w:pStyle w:val="TableParagraph"/>
              <w:spacing w:before="52"/>
              <w:ind w:left="217" w:right="200"/>
              <w:rPr>
                <w:sz w:val="18"/>
              </w:rPr>
            </w:pPr>
            <w:bookmarkStart w:name="拍摄时门店为营业状态（店内不可装修中）" w:id="101"/>
            <w:bookmarkEnd w:id="101"/>
            <w:r>
              <w:rPr/>
            </w:r>
            <w:r>
              <w:rPr>
                <w:sz w:val="18"/>
              </w:rPr>
              <w:t>拍摄时门店为营业状态（店内不可装修中</w:t>
            </w:r>
            <w:r>
              <w:rPr>
                <w:spacing w:val="-10"/>
                <w:sz w:val="18"/>
              </w:rPr>
              <w:t>）</w:t>
            </w:r>
          </w:p>
        </w:tc>
      </w:tr>
      <w:tr>
        <w:trPr>
          <w:trHeight w:val="336" w:hRule="atLeast"/>
        </w:trPr>
        <w:tc>
          <w:tcPr>
            <w:tcW w:w="620" w:type="dxa"/>
            <w:tcBorders>
              <w:top w:val="single" w:sz="4" w:space="0" w:color="000000"/>
              <w:bottom w:val="single" w:sz="4" w:space="0" w:color="000000"/>
              <w:right w:val="single" w:sz="4" w:space="0" w:color="000000"/>
            </w:tcBorders>
          </w:tcPr>
          <w:p>
            <w:pPr>
              <w:pStyle w:val="TableParagraph"/>
              <w:spacing w:before="54"/>
              <w:ind w:left="115" w:right="98"/>
              <w:rPr>
                <w:sz w:val="18"/>
              </w:rPr>
            </w:pPr>
            <w:r>
              <w:rPr>
                <w:spacing w:val="-5"/>
                <w:sz w:val="18"/>
              </w:rPr>
              <w:t>10</w:t>
            </w:r>
          </w:p>
        </w:tc>
        <w:tc>
          <w:tcPr>
            <w:tcW w:w="1095" w:type="dxa"/>
            <w:vMerge/>
            <w:tcBorders>
              <w:top w:val="nil"/>
              <w:left w:val="single" w:sz="4" w:space="0" w:color="000000"/>
              <w:bottom w:val="single" w:sz="4" w:space="0" w:color="000000"/>
              <w:right w:val="single" w:sz="4" w:space="0" w:color="000000"/>
            </w:tcBorders>
          </w:tcPr>
          <w:p>
            <w:pPr>
              <w:rPr>
                <w:sz w:val="2"/>
                <w:szCs w:val="2"/>
              </w:rPr>
            </w:pPr>
          </w:p>
        </w:tc>
        <w:tc>
          <w:tcPr>
            <w:tcW w:w="7855" w:type="dxa"/>
            <w:tcBorders>
              <w:top w:val="single" w:sz="4" w:space="0" w:color="000000"/>
              <w:left w:val="single" w:sz="4" w:space="0" w:color="000000"/>
              <w:bottom w:val="single" w:sz="4" w:space="0" w:color="000000"/>
            </w:tcBorders>
          </w:tcPr>
          <w:p>
            <w:pPr>
              <w:pStyle w:val="TableParagraph"/>
              <w:spacing w:before="54"/>
              <w:ind w:left="217" w:right="200"/>
              <w:rPr>
                <w:sz w:val="18"/>
              </w:rPr>
            </w:pPr>
            <w:bookmarkStart w:name="不应用图像处理软件对图片进行编修、篡改、涂抹等处理" w:id="102"/>
            <w:bookmarkEnd w:id="102"/>
            <w:r>
              <w:rPr/>
            </w:r>
            <w:r>
              <w:rPr>
                <w:spacing w:val="-1"/>
                <w:sz w:val="18"/>
              </w:rPr>
              <w:t>不应用图像处理软件对图片进行编修、篡改、涂抹等处理</w:t>
            </w:r>
          </w:p>
        </w:tc>
      </w:tr>
      <w:tr>
        <w:trPr>
          <w:trHeight w:val="336" w:hRule="atLeast"/>
        </w:trPr>
        <w:tc>
          <w:tcPr>
            <w:tcW w:w="620" w:type="dxa"/>
            <w:tcBorders>
              <w:top w:val="single" w:sz="4" w:space="0" w:color="000000"/>
              <w:bottom w:val="single" w:sz="4" w:space="0" w:color="000000"/>
              <w:right w:val="single" w:sz="4" w:space="0" w:color="000000"/>
            </w:tcBorders>
          </w:tcPr>
          <w:p>
            <w:pPr>
              <w:pStyle w:val="TableParagraph"/>
              <w:spacing w:before="53"/>
              <w:ind w:left="115" w:right="98"/>
              <w:rPr>
                <w:sz w:val="18"/>
              </w:rPr>
            </w:pPr>
            <w:r>
              <w:rPr>
                <w:spacing w:val="-5"/>
                <w:sz w:val="18"/>
              </w:rPr>
              <w:t>11</w:t>
            </w:r>
          </w:p>
        </w:tc>
        <w:tc>
          <w:tcPr>
            <w:tcW w:w="1095" w:type="dxa"/>
            <w:vMerge/>
            <w:tcBorders>
              <w:top w:val="nil"/>
              <w:left w:val="single" w:sz="4" w:space="0" w:color="000000"/>
              <w:bottom w:val="single" w:sz="4" w:space="0" w:color="000000"/>
              <w:right w:val="single" w:sz="4" w:space="0" w:color="000000"/>
            </w:tcBorders>
          </w:tcPr>
          <w:p>
            <w:pPr>
              <w:rPr>
                <w:sz w:val="2"/>
                <w:szCs w:val="2"/>
              </w:rPr>
            </w:pPr>
          </w:p>
        </w:tc>
        <w:tc>
          <w:tcPr>
            <w:tcW w:w="7855" w:type="dxa"/>
            <w:tcBorders>
              <w:top w:val="single" w:sz="4" w:space="0" w:color="000000"/>
              <w:left w:val="single" w:sz="4" w:space="0" w:color="000000"/>
              <w:bottom w:val="single" w:sz="4" w:space="0" w:color="000000"/>
            </w:tcBorders>
          </w:tcPr>
          <w:p>
            <w:pPr>
              <w:pStyle w:val="TableParagraph"/>
              <w:spacing w:before="53"/>
              <w:ind w:left="219" w:right="200"/>
              <w:rPr>
                <w:sz w:val="18"/>
              </w:rPr>
            </w:pPr>
            <w:bookmarkStart w:name="不应为他店图片、网络图片、手机截图或带有水印" w:id="103"/>
            <w:bookmarkEnd w:id="103"/>
            <w:r>
              <w:rPr/>
            </w:r>
            <w:r>
              <w:rPr>
                <w:spacing w:val="-1"/>
                <w:sz w:val="18"/>
              </w:rPr>
              <w:t>不应为他店图片、网络图片、手机截图或带有水印</w:t>
            </w:r>
          </w:p>
        </w:tc>
      </w:tr>
      <w:tr>
        <w:trPr>
          <w:trHeight w:val="336" w:hRule="atLeast"/>
        </w:trPr>
        <w:tc>
          <w:tcPr>
            <w:tcW w:w="620" w:type="dxa"/>
            <w:tcBorders>
              <w:top w:val="single" w:sz="4" w:space="0" w:color="000000"/>
              <w:bottom w:val="single" w:sz="4" w:space="0" w:color="000000"/>
              <w:right w:val="single" w:sz="4" w:space="0" w:color="000000"/>
            </w:tcBorders>
          </w:tcPr>
          <w:p>
            <w:pPr>
              <w:pStyle w:val="TableParagraph"/>
              <w:spacing w:before="53"/>
              <w:ind w:left="115" w:right="98"/>
              <w:rPr>
                <w:sz w:val="18"/>
              </w:rPr>
            </w:pPr>
            <w:bookmarkStart w:name="12" w:id="104"/>
            <w:bookmarkEnd w:id="104"/>
            <w:r>
              <w:rPr/>
            </w:r>
            <w:r>
              <w:rPr>
                <w:spacing w:val="-5"/>
                <w:sz w:val="18"/>
              </w:rPr>
              <w:t>12</w:t>
            </w:r>
          </w:p>
        </w:tc>
        <w:tc>
          <w:tcPr>
            <w:tcW w:w="1095" w:type="dxa"/>
            <w:vMerge/>
            <w:tcBorders>
              <w:top w:val="nil"/>
              <w:left w:val="single" w:sz="4" w:space="0" w:color="000000"/>
              <w:bottom w:val="single" w:sz="4" w:space="0" w:color="000000"/>
              <w:right w:val="single" w:sz="4" w:space="0" w:color="000000"/>
            </w:tcBorders>
          </w:tcPr>
          <w:p>
            <w:pPr>
              <w:rPr>
                <w:sz w:val="2"/>
                <w:szCs w:val="2"/>
              </w:rPr>
            </w:pPr>
          </w:p>
        </w:tc>
        <w:tc>
          <w:tcPr>
            <w:tcW w:w="7855" w:type="dxa"/>
            <w:tcBorders>
              <w:top w:val="single" w:sz="4" w:space="0" w:color="000000"/>
              <w:left w:val="single" w:sz="4" w:space="0" w:color="000000"/>
              <w:bottom w:val="single" w:sz="4" w:space="0" w:color="000000"/>
            </w:tcBorders>
          </w:tcPr>
          <w:p>
            <w:pPr>
              <w:pStyle w:val="TableParagraph"/>
              <w:spacing w:before="53"/>
              <w:ind w:left="219" w:right="200"/>
              <w:rPr>
                <w:sz w:val="18"/>
              </w:rPr>
            </w:pPr>
            <w:bookmarkStart w:name="不应利用人工智能技术生成合成图片" w:id="105"/>
            <w:bookmarkEnd w:id="105"/>
            <w:r>
              <w:rPr/>
            </w:r>
            <w:r>
              <w:rPr>
                <w:spacing w:val="-1"/>
                <w:sz w:val="18"/>
              </w:rPr>
              <w:t>不应利用人工智能技术生成合成图片</w:t>
            </w:r>
          </w:p>
        </w:tc>
      </w:tr>
      <w:tr>
        <w:trPr>
          <w:trHeight w:val="336" w:hRule="atLeast"/>
        </w:trPr>
        <w:tc>
          <w:tcPr>
            <w:tcW w:w="620" w:type="dxa"/>
            <w:tcBorders>
              <w:top w:val="single" w:sz="4" w:space="0" w:color="000000"/>
              <w:bottom w:val="single" w:sz="4" w:space="0" w:color="000000"/>
              <w:right w:val="single" w:sz="4" w:space="0" w:color="000000"/>
            </w:tcBorders>
          </w:tcPr>
          <w:p>
            <w:pPr>
              <w:pStyle w:val="TableParagraph"/>
              <w:spacing w:before="53"/>
              <w:ind w:left="115" w:right="98"/>
              <w:rPr>
                <w:sz w:val="18"/>
              </w:rPr>
            </w:pPr>
            <w:bookmarkStart w:name="13" w:id="106"/>
            <w:bookmarkEnd w:id="106"/>
            <w:r>
              <w:rPr/>
            </w:r>
            <w:r>
              <w:rPr>
                <w:spacing w:val="-5"/>
                <w:sz w:val="18"/>
              </w:rPr>
              <w:t>13</w:t>
            </w:r>
          </w:p>
        </w:tc>
        <w:tc>
          <w:tcPr>
            <w:tcW w:w="1095" w:type="dxa"/>
            <w:vMerge/>
            <w:tcBorders>
              <w:top w:val="nil"/>
              <w:left w:val="single" w:sz="4" w:space="0" w:color="000000"/>
              <w:bottom w:val="single" w:sz="4" w:space="0" w:color="000000"/>
              <w:right w:val="single" w:sz="4" w:space="0" w:color="000000"/>
            </w:tcBorders>
          </w:tcPr>
          <w:p>
            <w:pPr>
              <w:rPr>
                <w:sz w:val="2"/>
                <w:szCs w:val="2"/>
              </w:rPr>
            </w:pPr>
          </w:p>
        </w:tc>
        <w:tc>
          <w:tcPr>
            <w:tcW w:w="7855" w:type="dxa"/>
            <w:tcBorders>
              <w:top w:val="single" w:sz="4" w:space="0" w:color="000000"/>
              <w:left w:val="single" w:sz="4" w:space="0" w:color="000000"/>
              <w:bottom w:val="single" w:sz="4" w:space="0" w:color="000000"/>
            </w:tcBorders>
          </w:tcPr>
          <w:p>
            <w:pPr>
              <w:pStyle w:val="TableParagraph"/>
              <w:spacing w:before="53"/>
              <w:ind w:left="217" w:right="200"/>
              <w:rPr>
                <w:sz w:val="18"/>
              </w:rPr>
            </w:pPr>
            <w:bookmarkStart w:name="不应为流动餐车或无固定门店" w:id="107"/>
            <w:bookmarkEnd w:id="107"/>
            <w:r>
              <w:rPr/>
            </w:r>
            <w:r>
              <w:rPr>
                <w:spacing w:val="-1"/>
                <w:sz w:val="18"/>
              </w:rPr>
              <w:t>不应为流动餐车或无固定门店</w:t>
            </w:r>
          </w:p>
        </w:tc>
      </w:tr>
      <w:tr>
        <w:trPr>
          <w:trHeight w:val="330" w:hRule="atLeast"/>
        </w:trPr>
        <w:tc>
          <w:tcPr>
            <w:tcW w:w="620" w:type="dxa"/>
            <w:tcBorders>
              <w:top w:val="single" w:sz="4" w:space="0" w:color="000000"/>
              <w:bottom w:val="single" w:sz="4" w:space="0" w:color="000000"/>
              <w:right w:val="single" w:sz="4" w:space="0" w:color="000000"/>
            </w:tcBorders>
          </w:tcPr>
          <w:p>
            <w:pPr>
              <w:pStyle w:val="TableParagraph"/>
              <w:spacing w:before="52"/>
              <w:ind w:left="115" w:right="98"/>
              <w:rPr>
                <w:sz w:val="18"/>
              </w:rPr>
            </w:pPr>
            <w:bookmarkStart w:name="14" w:id="108"/>
            <w:bookmarkEnd w:id="108"/>
            <w:r>
              <w:rPr/>
            </w:r>
            <w:r>
              <w:rPr>
                <w:spacing w:val="-5"/>
                <w:sz w:val="18"/>
              </w:rPr>
              <w:t>14</w:t>
            </w:r>
          </w:p>
        </w:tc>
        <w:tc>
          <w:tcPr>
            <w:tcW w:w="1095" w:type="dxa"/>
            <w:vMerge w:val="restart"/>
            <w:tcBorders>
              <w:top w:val="single" w:sz="4" w:space="0" w:color="000000"/>
              <w:left w:val="single" w:sz="4" w:space="0" w:color="000000"/>
              <w:right w:val="single" w:sz="4" w:space="0" w:color="000000"/>
            </w:tcBorders>
          </w:tcPr>
          <w:p>
            <w:pPr>
              <w:pStyle w:val="TableParagraph"/>
              <w:jc w:val="left"/>
              <w:rPr>
                <w:rFonts w:ascii="黑体"/>
                <w:sz w:val="18"/>
              </w:rPr>
            </w:pPr>
          </w:p>
          <w:p>
            <w:pPr>
              <w:pStyle w:val="TableParagraph"/>
              <w:jc w:val="left"/>
              <w:rPr>
                <w:rFonts w:ascii="黑体"/>
                <w:sz w:val="18"/>
              </w:rPr>
            </w:pPr>
          </w:p>
          <w:p>
            <w:pPr>
              <w:pStyle w:val="TableParagraph"/>
              <w:jc w:val="left"/>
              <w:rPr>
                <w:rFonts w:ascii="黑体"/>
                <w:sz w:val="18"/>
              </w:rPr>
            </w:pPr>
          </w:p>
          <w:p>
            <w:pPr>
              <w:pStyle w:val="TableParagraph"/>
              <w:jc w:val="left"/>
              <w:rPr>
                <w:rFonts w:ascii="黑体"/>
                <w:sz w:val="18"/>
              </w:rPr>
            </w:pPr>
          </w:p>
          <w:p>
            <w:pPr>
              <w:pStyle w:val="TableParagraph"/>
              <w:spacing w:before="123"/>
              <w:ind w:left="282"/>
              <w:jc w:val="left"/>
              <w:rPr>
                <w:sz w:val="18"/>
              </w:rPr>
            </w:pPr>
            <w:bookmarkStart w:name="后厨照" w:id="109"/>
            <w:bookmarkEnd w:id="109"/>
            <w:r>
              <w:rPr/>
            </w:r>
            <w:bookmarkStart w:name="15" w:id="110"/>
            <w:bookmarkEnd w:id="110"/>
            <w:r>
              <w:rPr/>
            </w:r>
            <w:r>
              <w:rPr>
                <w:spacing w:val="-4"/>
                <w:sz w:val="18"/>
              </w:rPr>
              <w:t>后厨照</w:t>
            </w:r>
          </w:p>
        </w:tc>
        <w:tc>
          <w:tcPr>
            <w:tcW w:w="7855" w:type="dxa"/>
            <w:tcBorders>
              <w:top w:val="single" w:sz="4" w:space="0" w:color="000000"/>
              <w:left w:val="single" w:sz="4" w:space="0" w:color="000000"/>
              <w:bottom w:val="single" w:sz="4" w:space="0" w:color="000000"/>
            </w:tcBorders>
          </w:tcPr>
          <w:p>
            <w:pPr>
              <w:pStyle w:val="TableParagraph"/>
              <w:spacing w:before="52"/>
              <w:ind w:left="219" w:right="200"/>
              <w:rPr>
                <w:sz w:val="18"/>
              </w:rPr>
            </w:pPr>
            <w:bookmarkStart w:name="拍摄应清晰、明亮" w:id="111"/>
            <w:bookmarkEnd w:id="111"/>
            <w:r>
              <w:rPr/>
            </w:r>
            <w:r>
              <w:rPr>
                <w:spacing w:val="-2"/>
                <w:sz w:val="18"/>
              </w:rPr>
              <w:t>拍摄应清晰、明亮</w:t>
            </w:r>
          </w:p>
        </w:tc>
      </w:tr>
      <w:tr>
        <w:trPr>
          <w:trHeight w:val="930" w:hRule="atLeast"/>
        </w:trPr>
        <w:tc>
          <w:tcPr>
            <w:tcW w:w="620" w:type="dxa"/>
            <w:tcBorders>
              <w:top w:val="single" w:sz="4" w:space="0" w:color="000000"/>
              <w:bottom w:val="single" w:sz="4" w:space="0" w:color="000000"/>
              <w:right w:val="single" w:sz="4" w:space="0" w:color="000000"/>
            </w:tcBorders>
          </w:tcPr>
          <w:p>
            <w:pPr>
              <w:pStyle w:val="TableParagraph"/>
              <w:jc w:val="left"/>
              <w:rPr>
                <w:rFonts w:ascii="黑体"/>
                <w:sz w:val="18"/>
              </w:rPr>
            </w:pPr>
          </w:p>
          <w:p>
            <w:pPr>
              <w:pStyle w:val="TableParagraph"/>
              <w:spacing w:before="119"/>
              <w:ind w:left="116" w:right="98"/>
              <w:rPr>
                <w:sz w:val="18"/>
              </w:rPr>
            </w:pPr>
            <w:r>
              <w:rPr>
                <w:spacing w:val="-5"/>
                <w:sz w:val="18"/>
              </w:rPr>
              <w:t>15</w:t>
            </w:r>
          </w:p>
        </w:tc>
        <w:tc>
          <w:tcPr>
            <w:tcW w:w="1095" w:type="dxa"/>
            <w:vMerge/>
            <w:tcBorders>
              <w:top w:val="nil"/>
              <w:left w:val="single" w:sz="4" w:space="0" w:color="000000"/>
              <w:right w:val="single" w:sz="4" w:space="0" w:color="000000"/>
            </w:tcBorders>
          </w:tcPr>
          <w:p>
            <w:pPr>
              <w:rPr>
                <w:sz w:val="2"/>
                <w:szCs w:val="2"/>
              </w:rPr>
            </w:pPr>
          </w:p>
        </w:tc>
        <w:tc>
          <w:tcPr>
            <w:tcW w:w="7855" w:type="dxa"/>
            <w:tcBorders>
              <w:top w:val="single" w:sz="4" w:space="0" w:color="000000"/>
              <w:left w:val="single" w:sz="4" w:space="0" w:color="000000"/>
              <w:bottom w:val="single" w:sz="4" w:space="0" w:color="000000"/>
            </w:tcBorders>
          </w:tcPr>
          <w:p>
            <w:pPr>
              <w:pStyle w:val="TableParagraph"/>
              <w:spacing w:before="116"/>
              <w:ind w:left="106"/>
              <w:jc w:val="left"/>
              <w:rPr>
                <w:sz w:val="18"/>
              </w:rPr>
            </w:pPr>
            <w:bookmarkStart w:name="应进入厨房内拍摄，不应只拍摄厨房内的案板/灶台/菜品原料/墙角等不能反映厨房真实" w:id="112"/>
            <w:bookmarkEnd w:id="112"/>
            <w:r>
              <w:rPr/>
            </w:r>
            <w:r>
              <w:rPr>
                <w:spacing w:val="-8"/>
                <w:sz w:val="18"/>
              </w:rPr>
              <w:t>应进入厨房内拍摄，不应只拍摄厨房内的案板</w:t>
            </w:r>
            <w:r>
              <w:rPr>
                <w:rFonts w:ascii="Times New Roman" w:eastAsia="Times New Roman"/>
                <w:sz w:val="18"/>
              </w:rPr>
              <w:t>/</w:t>
            </w:r>
            <w:r>
              <w:rPr>
                <w:sz w:val="18"/>
              </w:rPr>
              <w:t>灶台</w:t>
            </w:r>
            <w:r>
              <w:rPr>
                <w:rFonts w:ascii="Times New Roman" w:eastAsia="Times New Roman"/>
                <w:sz w:val="18"/>
              </w:rPr>
              <w:t>/</w:t>
            </w:r>
            <w:r>
              <w:rPr>
                <w:sz w:val="18"/>
              </w:rPr>
              <w:t>菜品原料</w:t>
            </w:r>
            <w:r>
              <w:rPr>
                <w:rFonts w:ascii="Times New Roman" w:eastAsia="Times New Roman"/>
                <w:sz w:val="18"/>
              </w:rPr>
              <w:t>/</w:t>
            </w:r>
            <w:r>
              <w:rPr>
                <w:spacing w:val="-1"/>
                <w:sz w:val="18"/>
              </w:rPr>
              <w:t>墙角等不能反映厨房真实环境的图片</w:t>
            </w:r>
          </w:p>
          <w:p>
            <w:pPr>
              <w:pStyle w:val="TableParagraph"/>
              <w:spacing w:line="242" w:lineRule="auto" w:before="3"/>
              <w:ind w:left="1767" w:right="125" w:hanging="1620"/>
              <w:jc w:val="left"/>
              <w:rPr>
                <w:sz w:val="18"/>
              </w:rPr>
            </w:pPr>
            <w:r>
              <w:rPr>
                <w:spacing w:val="-2"/>
                <w:sz w:val="18"/>
              </w:rPr>
              <w:t>（</w:t>
            </w:r>
            <w:r>
              <w:rPr>
                <w:spacing w:val="-4"/>
                <w:sz w:val="18"/>
              </w:rPr>
              <w:t>建议拍摄时站在厨房一角，即可拍摄到 </w:t>
            </w:r>
            <w:r>
              <w:rPr>
                <w:spacing w:val="-2"/>
                <w:sz w:val="18"/>
              </w:rPr>
              <w:t>3/4</w:t>
            </w:r>
            <w:r>
              <w:rPr>
                <w:spacing w:val="-6"/>
                <w:sz w:val="18"/>
              </w:rPr>
              <w:t> 的厨房环境</w:t>
            </w:r>
            <w:r>
              <w:rPr>
                <w:spacing w:val="-2"/>
                <w:sz w:val="18"/>
              </w:rPr>
              <w:t>）；外带餐饮门店，后厨图应展示制作</w:t>
            </w:r>
            <w:r>
              <w:rPr>
                <w:spacing w:val="-2"/>
                <w:sz w:val="18"/>
              </w:rPr>
              <w:t>食物的餐台；非餐饮类的超市水果店等可以使用环境图</w:t>
            </w:r>
          </w:p>
        </w:tc>
      </w:tr>
      <w:tr>
        <w:trPr>
          <w:trHeight w:val="325" w:hRule="atLeast"/>
        </w:trPr>
        <w:tc>
          <w:tcPr>
            <w:tcW w:w="620" w:type="dxa"/>
            <w:tcBorders>
              <w:top w:val="single" w:sz="4" w:space="0" w:color="000000"/>
              <w:bottom w:val="single" w:sz="4" w:space="0" w:color="000000"/>
              <w:right w:val="single" w:sz="4" w:space="0" w:color="000000"/>
            </w:tcBorders>
          </w:tcPr>
          <w:p>
            <w:pPr>
              <w:pStyle w:val="TableParagraph"/>
              <w:spacing w:before="47"/>
              <w:ind w:left="116" w:right="98"/>
              <w:rPr>
                <w:sz w:val="18"/>
              </w:rPr>
            </w:pPr>
            <w:bookmarkStart w:name="16" w:id="113"/>
            <w:bookmarkEnd w:id="113"/>
            <w:r>
              <w:rPr/>
            </w:r>
            <w:r>
              <w:rPr>
                <w:spacing w:val="-5"/>
                <w:sz w:val="18"/>
              </w:rPr>
              <w:t>16</w:t>
            </w:r>
          </w:p>
        </w:tc>
        <w:tc>
          <w:tcPr>
            <w:tcW w:w="1095" w:type="dxa"/>
            <w:vMerge/>
            <w:tcBorders>
              <w:top w:val="nil"/>
              <w:left w:val="single" w:sz="4" w:space="0" w:color="000000"/>
              <w:right w:val="single" w:sz="4" w:space="0" w:color="000000"/>
            </w:tcBorders>
          </w:tcPr>
          <w:p>
            <w:pPr>
              <w:rPr>
                <w:sz w:val="2"/>
                <w:szCs w:val="2"/>
              </w:rPr>
            </w:pPr>
          </w:p>
        </w:tc>
        <w:tc>
          <w:tcPr>
            <w:tcW w:w="7855" w:type="dxa"/>
            <w:tcBorders>
              <w:top w:val="single" w:sz="4" w:space="0" w:color="000000"/>
              <w:left w:val="single" w:sz="4" w:space="0" w:color="000000"/>
              <w:bottom w:val="single" w:sz="4" w:space="0" w:color="000000"/>
            </w:tcBorders>
          </w:tcPr>
          <w:p>
            <w:pPr>
              <w:pStyle w:val="TableParagraph"/>
              <w:spacing w:before="47"/>
              <w:ind w:left="219" w:right="200"/>
              <w:rPr>
                <w:sz w:val="18"/>
              </w:rPr>
            </w:pPr>
            <w:bookmarkStart w:name="不应用图片处理软件处理，包括拼图、马赛克、photoshop等" w:id="114"/>
            <w:bookmarkEnd w:id="114"/>
            <w:r>
              <w:rPr/>
            </w:r>
            <w:r>
              <w:rPr>
                <w:spacing w:val="-2"/>
                <w:sz w:val="18"/>
              </w:rPr>
              <w:t>不应用图片处理软件处理，包括拼图、马赛克、photoshop</w:t>
            </w:r>
            <w:r>
              <w:rPr>
                <w:sz w:val="18"/>
              </w:rPr>
              <w:t> 等</w:t>
            </w:r>
          </w:p>
        </w:tc>
      </w:tr>
      <w:tr>
        <w:trPr>
          <w:trHeight w:val="326" w:hRule="atLeast"/>
        </w:trPr>
        <w:tc>
          <w:tcPr>
            <w:tcW w:w="620" w:type="dxa"/>
            <w:tcBorders>
              <w:top w:val="single" w:sz="4" w:space="0" w:color="000000"/>
              <w:bottom w:val="single" w:sz="4" w:space="0" w:color="000000"/>
              <w:right w:val="single" w:sz="4" w:space="0" w:color="000000"/>
            </w:tcBorders>
          </w:tcPr>
          <w:p>
            <w:pPr>
              <w:pStyle w:val="TableParagraph"/>
              <w:spacing w:before="47"/>
              <w:ind w:left="116" w:right="98"/>
              <w:rPr>
                <w:sz w:val="18"/>
              </w:rPr>
            </w:pPr>
            <w:bookmarkStart w:name="17" w:id="115"/>
            <w:bookmarkEnd w:id="115"/>
            <w:r>
              <w:rPr/>
            </w:r>
            <w:r>
              <w:rPr>
                <w:spacing w:val="-5"/>
                <w:sz w:val="18"/>
              </w:rPr>
              <w:t>17</w:t>
            </w:r>
          </w:p>
        </w:tc>
        <w:tc>
          <w:tcPr>
            <w:tcW w:w="1095" w:type="dxa"/>
            <w:vMerge/>
            <w:tcBorders>
              <w:top w:val="nil"/>
              <w:left w:val="single" w:sz="4" w:space="0" w:color="000000"/>
              <w:right w:val="single" w:sz="4" w:space="0" w:color="000000"/>
            </w:tcBorders>
          </w:tcPr>
          <w:p>
            <w:pPr>
              <w:rPr>
                <w:sz w:val="2"/>
                <w:szCs w:val="2"/>
              </w:rPr>
            </w:pPr>
          </w:p>
        </w:tc>
        <w:tc>
          <w:tcPr>
            <w:tcW w:w="7855" w:type="dxa"/>
            <w:tcBorders>
              <w:top w:val="single" w:sz="4" w:space="0" w:color="000000"/>
              <w:left w:val="single" w:sz="4" w:space="0" w:color="000000"/>
              <w:bottom w:val="single" w:sz="4" w:space="0" w:color="000000"/>
            </w:tcBorders>
          </w:tcPr>
          <w:p>
            <w:pPr>
              <w:pStyle w:val="TableParagraph"/>
              <w:spacing w:before="47"/>
              <w:ind w:left="219" w:right="200"/>
              <w:rPr>
                <w:sz w:val="18"/>
              </w:rPr>
            </w:pPr>
            <w:bookmarkStart w:name="不应为他店图片、网络图片、手机截图或带有水印" w:id="116"/>
            <w:bookmarkEnd w:id="116"/>
            <w:r>
              <w:rPr/>
            </w:r>
            <w:r>
              <w:rPr>
                <w:spacing w:val="-1"/>
                <w:sz w:val="18"/>
              </w:rPr>
              <w:t>不应为他店图片、网络图片、手机截图或带有水印</w:t>
            </w:r>
          </w:p>
        </w:tc>
      </w:tr>
      <w:tr>
        <w:trPr>
          <w:trHeight w:val="330" w:hRule="atLeast"/>
        </w:trPr>
        <w:tc>
          <w:tcPr>
            <w:tcW w:w="620" w:type="dxa"/>
            <w:tcBorders>
              <w:top w:val="single" w:sz="4" w:space="0" w:color="000000"/>
              <w:right w:val="single" w:sz="4" w:space="0" w:color="000000"/>
            </w:tcBorders>
          </w:tcPr>
          <w:p>
            <w:pPr>
              <w:pStyle w:val="TableParagraph"/>
              <w:spacing w:before="49"/>
              <w:ind w:left="115" w:right="98"/>
              <w:rPr>
                <w:sz w:val="18"/>
              </w:rPr>
            </w:pPr>
            <w:bookmarkStart w:name="18" w:id="117"/>
            <w:bookmarkEnd w:id="117"/>
            <w:r>
              <w:rPr/>
            </w:r>
            <w:r>
              <w:rPr>
                <w:spacing w:val="-5"/>
                <w:sz w:val="18"/>
              </w:rPr>
              <w:t>18</w:t>
            </w:r>
          </w:p>
        </w:tc>
        <w:tc>
          <w:tcPr>
            <w:tcW w:w="1095" w:type="dxa"/>
            <w:vMerge/>
            <w:tcBorders>
              <w:top w:val="nil"/>
              <w:left w:val="single" w:sz="4" w:space="0" w:color="000000"/>
              <w:right w:val="single" w:sz="4" w:space="0" w:color="000000"/>
            </w:tcBorders>
          </w:tcPr>
          <w:p>
            <w:pPr>
              <w:rPr>
                <w:sz w:val="2"/>
                <w:szCs w:val="2"/>
              </w:rPr>
            </w:pPr>
          </w:p>
        </w:tc>
        <w:tc>
          <w:tcPr>
            <w:tcW w:w="7855" w:type="dxa"/>
            <w:tcBorders>
              <w:top w:val="single" w:sz="4" w:space="0" w:color="000000"/>
              <w:left w:val="single" w:sz="4" w:space="0" w:color="000000"/>
            </w:tcBorders>
          </w:tcPr>
          <w:p>
            <w:pPr>
              <w:pStyle w:val="TableParagraph"/>
              <w:spacing w:before="49"/>
              <w:ind w:left="219" w:right="200"/>
              <w:rPr>
                <w:sz w:val="18"/>
              </w:rPr>
            </w:pPr>
            <w:bookmarkStart w:name="不应利用人工智能技术生成合成图片" w:id="118"/>
            <w:bookmarkEnd w:id="118"/>
            <w:r>
              <w:rPr/>
            </w:r>
            <w:r>
              <w:rPr>
                <w:spacing w:val="-1"/>
                <w:sz w:val="18"/>
              </w:rPr>
              <w:t>不应利用人工智能技术生成合成图片</w:t>
            </w:r>
          </w:p>
        </w:tc>
      </w:tr>
    </w:tbl>
    <w:p>
      <w:pPr>
        <w:spacing w:after="0"/>
        <w:rPr>
          <w:sz w:val="18"/>
        </w:rPr>
        <w:sectPr>
          <w:pgSz w:w="11910" w:h="16840"/>
          <w:pgMar w:header="1449" w:footer="1141" w:top="1640" w:bottom="1340" w:left="1200" w:right="720"/>
        </w:sectPr>
      </w:pPr>
    </w:p>
    <w:p>
      <w:pPr>
        <w:pStyle w:val="BodyText"/>
        <w:rPr>
          <w:rFonts w:ascii="黑体"/>
          <w:sz w:val="20"/>
        </w:rPr>
      </w:pPr>
    </w:p>
    <w:p>
      <w:pPr>
        <w:pStyle w:val="BodyText"/>
        <w:rPr>
          <w:rFonts w:ascii="黑体"/>
          <w:sz w:val="20"/>
        </w:rPr>
      </w:pPr>
    </w:p>
    <w:p>
      <w:pPr>
        <w:pStyle w:val="BodyText"/>
        <w:spacing w:before="7"/>
        <w:rPr>
          <w:rFonts w:ascii="黑体"/>
          <w:sz w:val="22"/>
        </w:rPr>
      </w:pPr>
    </w:p>
    <w:p>
      <w:pPr>
        <w:pStyle w:val="BodyText"/>
        <w:spacing w:before="70"/>
        <w:ind w:left="97" w:right="293"/>
        <w:jc w:val="center"/>
        <w:rPr>
          <w:rFonts w:ascii="黑体" w:eastAsia="黑体"/>
        </w:rPr>
      </w:pPr>
      <w:bookmarkStart w:name="参考文献" w:id="119"/>
      <w:bookmarkEnd w:id="119"/>
      <w:r>
        <w:rPr/>
      </w:r>
      <w:bookmarkStart w:name="_bookmark21" w:id="120"/>
      <w:bookmarkEnd w:id="120"/>
      <w:r>
        <w:rPr/>
      </w:r>
      <w:r>
        <w:rPr>
          <w:rFonts w:ascii="黑体" w:eastAsia="黑体"/>
        </w:rPr>
        <w:t>参</w:t>
      </w:r>
      <w:r>
        <w:rPr>
          <w:rFonts w:ascii="黑体" w:eastAsia="黑体"/>
          <w:spacing w:val="51"/>
          <w:w w:val="150"/>
        </w:rPr>
        <w:t> </w:t>
      </w:r>
      <w:r>
        <w:rPr>
          <w:rFonts w:ascii="黑体" w:eastAsia="黑体"/>
        </w:rPr>
        <w:t>考</w:t>
      </w:r>
      <w:r>
        <w:rPr>
          <w:rFonts w:ascii="黑体" w:eastAsia="黑体"/>
          <w:spacing w:val="51"/>
          <w:w w:val="150"/>
        </w:rPr>
        <w:t> </w:t>
      </w:r>
      <w:r>
        <w:rPr>
          <w:rFonts w:ascii="黑体" w:eastAsia="黑体"/>
        </w:rPr>
        <w:t>文</w:t>
      </w:r>
      <w:r>
        <w:rPr>
          <w:rFonts w:ascii="黑体" w:eastAsia="黑体"/>
          <w:spacing w:val="52"/>
          <w:w w:val="150"/>
        </w:rPr>
        <w:t> </w:t>
      </w:r>
      <w:r>
        <w:rPr>
          <w:rFonts w:ascii="黑体" w:eastAsia="黑体"/>
          <w:spacing w:val="-10"/>
        </w:rPr>
        <w:t>献</w:t>
      </w:r>
    </w:p>
    <w:p>
      <w:pPr>
        <w:pStyle w:val="BodyText"/>
        <w:spacing w:before="7"/>
        <w:rPr>
          <w:rFonts w:ascii="黑体"/>
          <w:sz w:val="15"/>
        </w:rPr>
      </w:pPr>
    </w:p>
    <w:p>
      <w:pPr>
        <w:pStyle w:val="ListParagraph"/>
        <w:numPr>
          <w:ilvl w:val="0"/>
          <w:numId w:val="14"/>
        </w:numPr>
        <w:tabs>
          <w:tab w:pos="1059" w:val="left" w:leader="none"/>
        </w:tabs>
        <w:spacing w:line="240" w:lineRule="auto" w:before="0" w:after="0"/>
        <w:ind w:left="1058" w:right="0" w:hanging="421"/>
        <w:jc w:val="left"/>
        <w:rPr>
          <w:sz w:val="21"/>
        </w:rPr>
      </w:pPr>
      <w:r>
        <w:rPr>
          <w:w w:val="95"/>
          <w:sz w:val="21"/>
        </w:rPr>
        <w:t>《中华人民共和国反不正当竞争法》（2025修订</w:t>
      </w:r>
      <w:r>
        <w:rPr>
          <w:spacing w:val="-10"/>
          <w:w w:val="95"/>
          <w:sz w:val="21"/>
        </w:rPr>
        <w:t>）</w:t>
      </w:r>
    </w:p>
    <w:p>
      <w:pPr>
        <w:pStyle w:val="ListParagraph"/>
        <w:numPr>
          <w:ilvl w:val="0"/>
          <w:numId w:val="14"/>
        </w:numPr>
        <w:tabs>
          <w:tab w:pos="1059" w:val="left" w:leader="none"/>
        </w:tabs>
        <w:spacing w:line="240" w:lineRule="auto" w:before="43" w:after="0"/>
        <w:ind w:left="1058" w:right="0" w:hanging="421"/>
        <w:jc w:val="left"/>
        <w:rPr>
          <w:sz w:val="21"/>
        </w:rPr>
      </w:pPr>
      <w:r>
        <w:rPr>
          <w:w w:val="95"/>
          <w:sz w:val="21"/>
        </w:rPr>
        <w:t>《中华人民共和国反垄断法》（2022修订</w:t>
      </w:r>
      <w:r>
        <w:rPr>
          <w:spacing w:val="-10"/>
          <w:w w:val="95"/>
          <w:sz w:val="21"/>
        </w:rPr>
        <w:t>）</w:t>
      </w:r>
    </w:p>
    <w:p>
      <w:pPr>
        <w:pStyle w:val="ListParagraph"/>
        <w:numPr>
          <w:ilvl w:val="0"/>
          <w:numId w:val="14"/>
        </w:numPr>
        <w:tabs>
          <w:tab w:pos="1059" w:val="left" w:leader="none"/>
        </w:tabs>
        <w:spacing w:line="240" w:lineRule="auto" w:before="43" w:after="0"/>
        <w:ind w:left="1058" w:right="0" w:hanging="421"/>
        <w:jc w:val="left"/>
        <w:rPr>
          <w:sz w:val="21"/>
        </w:rPr>
      </w:pPr>
      <w:r>
        <w:rPr>
          <w:spacing w:val="-1"/>
          <w:w w:val="95"/>
          <w:sz w:val="21"/>
        </w:rPr>
        <w:t>《中华人民共和国电子商务法》</w:t>
      </w:r>
    </w:p>
    <w:p>
      <w:pPr>
        <w:pStyle w:val="ListParagraph"/>
        <w:numPr>
          <w:ilvl w:val="0"/>
          <w:numId w:val="14"/>
        </w:numPr>
        <w:tabs>
          <w:tab w:pos="1059" w:val="left" w:leader="none"/>
        </w:tabs>
        <w:spacing w:line="240" w:lineRule="auto" w:before="43" w:after="0"/>
        <w:ind w:left="1058" w:right="0" w:hanging="421"/>
        <w:jc w:val="left"/>
        <w:rPr>
          <w:sz w:val="21"/>
        </w:rPr>
      </w:pPr>
      <w:r>
        <w:rPr>
          <w:spacing w:val="-1"/>
          <w:w w:val="95"/>
          <w:sz w:val="21"/>
        </w:rPr>
        <w:t>《中华人民共和国价格法》</w:t>
      </w:r>
    </w:p>
    <w:p>
      <w:pPr>
        <w:pStyle w:val="ListParagraph"/>
        <w:numPr>
          <w:ilvl w:val="0"/>
          <w:numId w:val="14"/>
        </w:numPr>
        <w:tabs>
          <w:tab w:pos="1059" w:val="left" w:leader="none"/>
        </w:tabs>
        <w:spacing w:line="240" w:lineRule="auto" w:before="43" w:after="0"/>
        <w:ind w:left="1058" w:right="0" w:hanging="421"/>
        <w:jc w:val="left"/>
        <w:rPr>
          <w:sz w:val="21"/>
        </w:rPr>
      </w:pPr>
      <w:r>
        <w:rPr>
          <w:spacing w:val="-1"/>
          <w:w w:val="95"/>
          <w:sz w:val="21"/>
        </w:rPr>
        <w:t>《中华人民共和国反食品浪费法》</w:t>
      </w:r>
    </w:p>
    <w:p>
      <w:pPr>
        <w:pStyle w:val="ListParagraph"/>
        <w:numPr>
          <w:ilvl w:val="0"/>
          <w:numId w:val="14"/>
        </w:numPr>
        <w:tabs>
          <w:tab w:pos="1059" w:val="left" w:leader="none"/>
        </w:tabs>
        <w:spacing w:line="240" w:lineRule="auto" w:before="43" w:after="0"/>
        <w:ind w:left="1058" w:right="0" w:hanging="421"/>
        <w:jc w:val="left"/>
        <w:rPr>
          <w:sz w:val="21"/>
        </w:rPr>
      </w:pPr>
      <w:r>
        <w:rPr>
          <w:w w:val="95"/>
          <w:sz w:val="21"/>
        </w:rPr>
        <w:t>《中华人民共和国消费者权益保护法实施条例》（中华人民共和国国务院令第</w:t>
      </w:r>
      <w:r>
        <w:rPr>
          <w:rFonts w:ascii="Times New Roman" w:eastAsia="Times New Roman"/>
          <w:w w:val="95"/>
          <w:sz w:val="21"/>
        </w:rPr>
        <w:t>778</w:t>
      </w:r>
      <w:r>
        <w:rPr>
          <w:w w:val="95"/>
          <w:sz w:val="21"/>
        </w:rPr>
        <w:t>号</w:t>
      </w:r>
      <w:r>
        <w:rPr>
          <w:spacing w:val="-10"/>
          <w:w w:val="95"/>
          <w:sz w:val="21"/>
        </w:rPr>
        <w:t>）</w:t>
      </w:r>
    </w:p>
    <w:p>
      <w:pPr>
        <w:pStyle w:val="ListParagraph"/>
        <w:numPr>
          <w:ilvl w:val="0"/>
          <w:numId w:val="14"/>
        </w:numPr>
        <w:tabs>
          <w:tab w:pos="1059" w:val="left" w:leader="none"/>
        </w:tabs>
        <w:spacing w:line="240" w:lineRule="auto" w:before="43" w:after="0"/>
        <w:ind w:left="1058" w:right="0" w:hanging="421"/>
        <w:jc w:val="left"/>
        <w:rPr>
          <w:sz w:val="21"/>
        </w:rPr>
      </w:pPr>
      <w:r>
        <w:rPr>
          <w:w w:val="95"/>
          <w:sz w:val="21"/>
        </w:rPr>
        <w:t>《规范促销行为暂行规定》（国家市场监督管理总局令第</w:t>
      </w:r>
      <w:r>
        <w:rPr>
          <w:rFonts w:ascii="Times New Roman" w:eastAsia="Times New Roman"/>
          <w:w w:val="95"/>
          <w:sz w:val="21"/>
        </w:rPr>
        <w:t>32</w:t>
      </w:r>
      <w:r>
        <w:rPr>
          <w:w w:val="95"/>
          <w:sz w:val="21"/>
        </w:rPr>
        <w:t>号</w:t>
      </w:r>
      <w:r>
        <w:rPr>
          <w:spacing w:val="-10"/>
          <w:w w:val="95"/>
          <w:sz w:val="21"/>
        </w:rPr>
        <w:t>）</w:t>
      </w:r>
    </w:p>
    <w:p>
      <w:pPr>
        <w:pStyle w:val="ListParagraph"/>
        <w:numPr>
          <w:ilvl w:val="0"/>
          <w:numId w:val="14"/>
        </w:numPr>
        <w:tabs>
          <w:tab w:pos="1059" w:val="left" w:leader="none"/>
        </w:tabs>
        <w:spacing w:line="240" w:lineRule="auto" w:before="42" w:after="0"/>
        <w:ind w:left="1058" w:right="0" w:hanging="421"/>
        <w:jc w:val="left"/>
        <w:rPr>
          <w:sz w:val="21"/>
        </w:rPr>
      </w:pPr>
      <w:r>
        <w:rPr>
          <w:w w:val="95"/>
          <w:sz w:val="21"/>
        </w:rPr>
        <w:t>《明码标价和禁止价格欺诈规定》（国家市场监督管理总局令第</w:t>
      </w:r>
      <w:r>
        <w:rPr>
          <w:rFonts w:ascii="Times New Roman" w:eastAsia="Times New Roman"/>
          <w:w w:val="95"/>
          <w:sz w:val="21"/>
        </w:rPr>
        <w:t>56</w:t>
      </w:r>
      <w:r>
        <w:rPr>
          <w:w w:val="95"/>
          <w:sz w:val="21"/>
        </w:rPr>
        <w:t>号</w:t>
      </w:r>
      <w:r>
        <w:rPr>
          <w:spacing w:val="-10"/>
          <w:w w:val="95"/>
          <w:sz w:val="21"/>
        </w:rPr>
        <w:t>）</w:t>
      </w:r>
    </w:p>
    <w:p>
      <w:pPr>
        <w:pStyle w:val="ListParagraph"/>
        <w:numPr>
          <w:ilvl w:val="0"/>
          <w:numId w:val="14"/>
        </w:numPr>
        <w:tabs>
          <w:tab w:pos="1059" w:val="left" w:leader="none"/>
        </w:tabs>
        <w:spacing w:line="240" w:lineRule="auto" w:before="43" w:after="0"/>
        <w:ind w:left="1058" w:right="0" w:hanging="421"/>
        <w:jc w:val="left"/>
        <w:rPr>
          <w:sz w:val="21"/>
        </w:rPr>
      </w:pPr>
      <w:r>
        <w:rPr>
          <w:w w:val="95"/>
          <w:sz w:val="21"/>
        </w:rPr>
        <w:t>《国务院反垄断委员会关于平台经济领域的反垄断指南》（国反垄发〔</w:t>
      </w:r>
      <w:r>
        <w:rPr>
          <w:rFonts w:ascii="Times New Roman" w:eastAsia="Times New Roman"/>
          <w:w w:val="95"/>
          <w:sz w:val="21"/>
        </w:rPr>
        <w:t>2021</w:t>
      </w:r>
      <w:r>
        <w:rPr>
          <w:w w:val="95"/>
          <w:sz w:val="21"/>
        </w:rPr>
        <w:t>〕</w:t>
      </w:r>
      <w:r>
        <w:rPr>
          <w:rFonts w:ascii="Times New Roman" w:eastAsia="Times New Roman"/>
          <w:w w:val="95"/>
          <w:sz w:val="21"/>
        </w:rPr>
        <w:t>1</w:t>
      </w:r>
      <w:r>
        <w:rPr>
          <w:w w:val="95"/>
          <w:sz w:val="21"/>
        </w:rPr>
        <w:t>号</w:t>
      </w:r>
      <w:r>
        <w:rPr>
          <w:spacing w:val="-10"/>
          <w:w w:val="95"/>
          <w:sz w:val="21"/>
        </w:rPr>
        <w:t>）</w:t>
      </w:r>
    </w:p>
    <w:p>
      <w:pPr>
        <w:pStyle w:val="ListParagraph"/>
        <w:numPr>
          <w:ilvl w:val="0"/>
          <w:numId w:val="14"/>
        </w:numPr>
        <w:tabs>
          <w:tab w:pos="1059" w:val="left" w:leader="none"/>
        </w:tabs>
        <w:spacing w:line="240" w:lineRule="auto" w:before="43" w:after="0"/>
        <w:ind w:left="1058" w:right="0" w:hanging="421"/>
        <w:jc w:val="left"/>
        <w:rPr>
          <w:sz w:val="21"/>
        </w:rPr>
      </w:pPr>
      <w:r>
        <w:rPr>
          <w:w w:val="95"/>
          <w:sz w:val="21"/>
        </w:rPr>
        <w:t>《网络交易监督管理办法》（国家市场监督管理总局令第</w:t>
      </w:r>
      <w:r>
        <w:rPr>
          <w:rFonts w:ascii="Times New Roman" w:eastAsia="Times New Roman"/>
          <w:w w:val="95"/>
          <w:sz w:val="21"/>
        </w:rPr>
        <w:t>37</w:t>
      </w:r>
      <w:r>
        <w:rPr>
          <w:w w:val="95"/>
          <w:sz w:val="21"/>
        </w:rPr>
        <w:t>号</w:t>
      </w:r>
      <w:r>
        <w:rPr>
          <w:spacing w:val="-10"/>
          <w:w w:val="95"/>
          <w:sz w:val="21"/>
        </w:rPr>
        <w:t>）</w:t>
      </w:r>
    </w:p>
    <w:p>
      <w:pPr>
        <w:pStyle w:val="ListParagraph"/>
        <w:numPr>
          <w:ilvl w:val="0"/>
          <w:numId w:val="14"/>
        </w:numPr>
        <w:tabs>
          <w:tab w:pos="1059" w:val="left" w:leader="none"/>
        </w:tabs>
        <w:spacing w:line="240" w:lineRule="auto" w:before="43" w:after="0"/>
        <w:ind w:left="1058" w:right="0" w:hanging="421"/>
        <w:jc w:val="left"/>
        <w:rPr>
          <w:sz w:val="21"/>
        </w:rPr>
      </w:pPr>
      <w:r>
        <w:rPr>
          <w:w w:val="95"/>
          <w:sz w:val="21"/>
        </w:rPr>
        <w:t>《互联网广告管理办法》（国家市场监督管理总局令第</w:t>
      </w:r>
      <w:r>
        <w:rPr>
          <w:rFonts w:ascii="Times New Roman" w:eastAsia="Times New Roman"/>
          <w:w w:val="95"/>
          <w:sz w:val="21"/>
        </w:rPr>
        <w:t>72</w:t>
      </w:r>
      <w:r>
        <w:rPr>
          <w:w w:val="95"/>
          <w:sz w:val="21"/>
        </w:rPr>
        <w:t>号</w:t>
      </w:r>
      <w:r>
        <w:rPr>
          <w:spacing w:val="-10"/>
          <w:w w:val="95"/>
          <w:sz w:val="21"/>
        </w:rPr>
        <w:t>）</w:t>
      </w:r>
    </w:p>
    <w:p>
      <w:pPr>
        <w:pStyle w:val="ListParagraph"/>
        <w:numPr>
          <w:ilvl w:val="0"/>
          <w:numId w:val="14"/>
        </w:numPr>
        <w:tabs>
          <w:tab w:pos="1059" w:val="left" w:leader="none"/>
        </w:tabs>
        <w:spacing w:line="240" w:lineRule="auto" w:before="43" w:after="0"/>
        <w:ind w:left="1058" w:right="0" w:hanging="421"/>
        <w:jc w:val="left"/>
        <w:rPr>
          <w:sz w:val="21"/>
        </w:rPr>
      </w:pPr>
      <w:r>
        <w:rPr>
          <w:w w:val="95"/>
          <w:sz w:val="21"/>
        </w:rPr>
        <w:t>《网络商品和服务集中促销活动管理暂行规定》（国家工商行政管理总局令第</w:t>
      </w:r>
      <w:r>
        <w:rPr>
          <w:rFonts w:ascii="Times New Roman" w:eastAsia="Times New Roman"/>
          <w:w w:val="95"/>
          <w:sz w:val="21"/>
        </w:rPr>
        <w:t>77</w:t>
      </w:r>
      <w:r>
        <w:rPr>
          <w:w w:val="95"/>
          <w:sz w:val="21"/>
        </w:rPr>
        <w:t>号</w:t>
      </w:r>
      <w:r>
        <w:rPr>
          <w:spacing w:val="-10"/>
          <w:w w:val="95"/>
          <w:sz w:val="21"/>
        </w:rPr>
        <w:t>）</w:t>
      </w:r>
    </w:p>
    <w:p>
      <w:pPr>
        <w:pStyle w:val="ListParagraph"/>
        <w:numPr>
          <w:ilvl w:val="0"/>
          <w:numId w:val="14"/>
        </w:numPr>
        <w:tabs>
          <w:tab w:pos="1059" w:val="left" w:leader="none"/>
        </w:tabs>
        <w:spacing w:line="278" w:lineRule="auto" w:before="43" w:after="0"/>
        <w:ind w:left="1058" w:right="316" w:hanging="420"/>
        <w:jc w:val="left"/>
        <w:rPr>
          <w:sz w:val="21"/>
        </w:rPr>
      </w:pPr>
      <w:r>
        <w:rPr>
          <w:spacing w:val="-4"/>
          <w:sz w:val="21"/>
        </w:rPr>
        <w:t>国家发展改革委 市场监管总局 国家网信办关于《互联网平台价格行为规则</w:t>
      </w:r>
      <w:r>
        <w:rPr>
          <w:sz w:val="21"/>
        </w:rPr>
        <w:t>（征求意见稿）》</w:t>
      </w:r>
      <w:r>
        <w:rPr>
          <w:spacing w:val="-2"/>
          <w:sz w:val="21"/>
        </w:rPr>
        <w:t>公开征求意见的公告</w:t>
      </w:r>
    </w:p>
    <w:p>
      <w:pPr>
        <w:pStyle w:val="ListParagraph"/>
        <w:numPr>
          <w:ilvl w:val="0"/>
          <w:numId w:val="14"/>
        </w:numPr>
        <w:tabs>
          <w:tab w:pos="1059" w:val="left" w:leader="none"/>
        </w:tabs>
        <w:spacing w:line="278" w:lineRule="auto" w:before="0" w:after="0"/>
        <w:ind w:left="1058" w:right="412" w:hanging="420"/>
        <w:jc w:val="left"/>
        <w:rPr>
          <w:sz w:val="21"/>
        </w:rPr>
      </w:pPr>
      <w:r>
        <w:rPr>
          <w:spacing w:val="-6"/>
          <w:w w:val="99"/>
          <w:sz w:val="21"/>
        </w:rPr>
        <w:t>国家市场监管总局关于发布《网络交易平台收费行为合规指南》的公告</w:t>
      </w:r>
      <w:r>
        <w:rPr>
          <w:spacing w:val="2"/>
          <w:w w:val="99"/>
          <w:sz w:val="21"/>
        </w:rPr>
        <w:t>（</w:t>
      </w:r>
      <w:r>
        <w:rPr>
          <w:spacing w:val="-1"/>
          <w:w w:val="99"/>
          <w:sz w:val="21"/>
        </w:rPr>
        <w:t>国家市场监督管理总局公告</w:t>
      </w:r>
      <w:r>
        <w:rPr>
          <w:rFonts w:ascii="Times New Roman" w:eastAsia="Times New Roman"/>
          <w:spacing w:val="1"/>
          <w:w w:val="99"/>
          <w:sz w:val="21"/>
        </w:rPr>
        <w:t>202</w:t>
      </w:r>
      <w:r>
        <w:rPr>
          <w:rFonts w:ascii="Times New Roman" w:eastAsia="Times New Roman"/>
          <w:spacing w:val="-2"/>
          <w:w w:val="99"/>
          <w:sz w:val="21"/>
        </w:rPr>
        <w:t>5</w:t>
      </w:r>
      <w:r>
        <w:rPr>
          <w:w w:val="99"/>
          <w:sz w:val="21"/>
        </w:rPr>
        <w:t>年第</w:t>
      </w:r>
      <w:r>
        <w:rPr>
          <w:rFonts w:ascii="Times New Roman" w:eastAsia="Times New Roman"/>
          <w:spacing w:val="1"/>
          <w:w w:val="99"/>
          <w:sz w:val="21"/>
        </w:rPr>
        <w:t>32</w:t>
      </w:r>
      <w:r>
        <w:rPr>
          <w:spacing w:val="-1"/>
          <w:w w:val="99"/>
          <w:sz w:val="21"/>
        </w:rPr>
        <w:t>号</w:t>
      </w:r>
      <w:r>
        <w:rPr>
          <w:w w:val="99"/>
          <w:sz w:val="21"/>
        </w:rPr>
        <w:t>）</w:t>
      </w:r>
    </w:p>
    <w:p>
      <w:pPr>
        <w:pStyle w:val="ListParagraph"/>
        <w:numPr>
          <w:ilvl w:val="0"/>
          <w:numId w:val="14"/>
        </w:numPr>
        <w:tabs>
          <w:tab w:pos="1059" w:val="left" w:leader="none"/>
        </w:tabs>
        <w:spacing w:line="278" w:lineRule="auto" w:before="0" w:after="0"/>
        <w:ind w:left="1058" w:right="412" w:hanging="420"/>
        <w:jc w:val="left"/>
        <w:rPr>
          <w:sz w:val="21"/>
        </w:rPr>
      </w:pPr>
      <w:r>
        <w:rPr>
          <w:spacing w:val="-7"/>
          <w:w w:val="99"/>
          <w:sz w:val="21"/>
        </w:rPr>
        <w:t>市场监管总局关于修改《企业落实食品安全主体责任监督管理规定》的决定</w:t>
      </w:r>
      <w:r>
        <w:rPr>
          <w:spacing w:val="2"/>
          <w:w w:val="99"/>
          <w:sz w:val="21"/>
        </w:rPr>
        <w:t>（</w:t>
      </w:r>
      <w:r>
        <w:rPr>
          <w:spacing w:val="-1"/>
          <w:w w:val="99"/>
          <w:sz w:val="21"/>
        </w:rPr>
        <w:t>市场监管总局令第</w:t>
      </w:r>
      <w:r>
        <w:rPr>
          <w:rFonts w:ascii="Times New Roman" w:eastAsia="Times New Roman"/>
          <w:spacing w:val="1"/>
          <w:w w:val="99"/>
          <w:sz w:val="21"/>
        </w:rPr>
        <w:t>97</w:t>
      </w:r>
      <w:r>
        <w:rPr>
          <w:spacing w:val="-1"/>
          <w:w w:val="99"/>
          <w:sz w:val="21"/>
        </w:rPr>
        <w:t>号</w:t>
      </w:r>
      <w:r>
        <w:rPr>
          <w:w w:val="99"/>
          <w:sz w:val="21"/>
        </w:rPr>
        <w:t>）</w:t>
      </w:r>
    </w:p>
    <w:p>
      <w:pPr>
        <w:pStyle w:val="ListParagraph"/>
        <w:numPr>
          <w:ilvl w:val="0"/>
          <w:numId w:val="14"/>
        </w:numPr>
        <w:tabs>
          <w:tab w:pos="1059" w:val="left" w:leader="none"/>
        </w:tabs>
        <w:spacing w:line="278" w:lineRule="auto" w:before="0" w:after="0"/>
        <w:ind w:left="1058" w:right="412" w:hanging="420"/>
        <w:jc w:val="left"/>
        <w:rPr>
          <w:sz w:val="21"/>
        </w:rPr>
      </w:pPr>
      <w:r>
        <w:rPr>
          <w:spacing w:val="-4"/>
          <w:w w:val="99"/>
          <w:sz w:val="21"/>
        </w:rPr>
        <w:t>《市场监管总局关于推动网络交易平台企业落实合规管理主体责任的指导意见》</w:t>
      </w:r>
      <w:r>
        <w:rPr>
          <w:spacing w:val="2"/>
          <w:w w:val="99"/>
          <w:sz w:val="21"/>
        </w:rPr>
        <w:t>（</w:t>
      </w:r>
      <w:r>
        <w:rPr>
          <w:spacing w:val="-1"/>
          <w:w w:val="99"/>
          <w:sz w:val="21"/>
        </w:rPr>
        <w:t>国市监网监</w:t>
      </w:r>
      <w:r>
        <w:rPr>
          <w:w w:val="99"/>
          <w:sz w:val="21"/>
        </w:rPr>
        <w:t>发〔</w:t>
      </w:r>
      <w:r>
        <w:rPr>
          <w:rFonts w:ascii="Times New Roman" w:eastAsia="Times New Roman"/>
          <w:spacing w:val="1"/>
          <w:w w:val="99"/>
          <w:sz w:val="21"/>
        </w:rPr>
        <w:t>202</w:t>
      </w:r>
      <w:r>
        <w:rPr>
          <w:rFonts w:ascii="Times New Roman" w:eastAsia="Times New Roman"/>
          <w:spacing w:val="-2"/>
          <w:w w:val="99"/>
          <w:sz w:val="21"/>
        </w:rPr>
        <w:t>5</w:t>
      </w:r>
      <w:r>
        <w:rPr>
          <w:spacing w:val="-1"/>
          <w:w w:val="99"/>
          <w:sz w:val="21"/>
        </w:rPr>
        <w:t>〕</w:t>
      </w:r>
      <w:r>
        <w:rPr>
          <w:rFonts w:ascii="Times New Roman" w:eastAsia="Times New Roman"/>
          <w:spacing w:val="1"/>
          <w:w w:val="99"/>
          <w:sz w:val="21"/>
        </w:rPr>
        <w:t>18</w:t>
      </w:r>
      <w:r>
        <w:rPr>
          <w:spacing w:val="-1"/>
          <w:w w:val="99"/>
          <w:sz w:val="21"/>
        </w:rPr>
        <w:t>号</w:t>
      </w:r>
      <w:r>
        <w:rPr>
          <w:w w:val="99"/>
          <w:sz w:val="21"/>
        </w:rPr>
        <w:t>）</w:t>
      </w:r>
    </w:p>
    <w:p>
      <w:pPr>
        <w:pStyle w:val="ListParagraph"/>
        <w:numPr>
          <w:ilvl w:val="0"/>
          <w:numId w:val="14"/>
        </w:numPr>
        <w:tabs>
          <w:tab w:pos="1059" w:val="left" w:leader="none"/>
        </w:tabs>
        <w:spacing w:line="269" w:lineRule="exact" w:before="0" w:after="0"/>
        <w:ind w:left="1058" w:right="0" w:hanging="421"/>
        <w:jc w:val="left"/>
        <w:rPr>
          <w:sz w:val="21"/>
        </w:rPr>
      </w:pPr>
      <w:r>
        <w:rPr>
          <w:spacing w:val="-1"/>
          <w:w w:val="95"/>
          <w:sz w:val="21"/>
        </w:rPr>
        <w:t>《北京市市场监管局关于规范网络集中促销行为的合规提示》</w:t>
      </w:r>
    </w:p>
    <w:p>
      <w:pPr>
        <w:pStyle w:val="ListParagraph"/>
        <w:numPr>
          <w:ilvl w:val="0"/>
          <w:numId w:val="14"/>
        </w:numPr>
        <w:tabs>
          <w:tab w:pos="1059" w:val="left" w:leader="none"/>
        </w:tabs>
        <w:spacing w:line="240" w:lineRule="auto" w:before="42" w:after="0"/>
        <w:ind w:left="1058" w:right="0" w:hanging="421"/>
        <w:jc w:val="left"/>
        <w:rPr>
          <w:sz w:val="21"/>
        </w:rPr>
      </w:pPr>
      <w:r>
        <w:rPr>
          <w:w w:val="95"/>
          <w:sz w:val="21"/>
        </w:rPr>
        <w:t>上海市市场监督管理局关于印发《上海市网络餐饮服务平台合规指引》的通知（</w:t>
      </w:r>
      <w:r>
        <w:rPr>
          <w:spacing w:val="-2"/>
          <w:w w:val="95"/>
          <w:sz w:val="21"/>
        </w:rPr>
        <w:t>沪市监网监</w:t>
      </w:r>
    </w:p>
    <w:p>
      <w:pPr>
        <w:pStyle w:val="BodyText"/>
        <w:spacing w:before="43"/>
        <w:ind w:left="1058"/>
      </w:pPr>
      <w:r>
        <w:rPr>
          <w:w w:val="95"/>
        </w:rPr>
        <w:t>〔</w:t>
      </w:r>
      <w:r>
        <w:rPr>
          <w:rFonts w:ascii="Times New Roman" w:eastAsia="Times New Roman"/>
          <w:w w:val="95"/>
        </w:rPr>
        <w:t>2023</w:t>
      </w:r>
      <w:r>
        <w:rPr>
          <w:w w:val="95"/>
        </w:rPr>
        <w:t>〕</w:t>
      </w:r>
      <w:r>
        <w:rPr>
          <w:rFonts w:ascii="Times New Roman" w:eastAsia="Times New Roman"/>
          <w:w w:val="95"/>
        </w:rPr>
        <w:t>542</w:t>
      </w:r>
      <w:r>
        <w:rPr>
          <w:w w:val="95"/>
        </w:rPr>
        <w:t>号</w:t>
      </w:r>
      <w:r>
        <w:rPr>
          <w:spacing w:val="-10"/>
          <w:w w:val="95"/>
        </w:rPr>
        <w:t>）</w:t>
      </w:r>
    </w:p>
    <w:p>
      <w:pPr>
        <w:pStyle w:val="ListParagraph"/>
        <w:numPr>
          <w:ilvl w:val="0"/>
          <w:numId w:val="14"/>
        </w:numPr>
        <w:tabs>
          <w:tab w:pos="1059" w:val="left" w:leader="none"/>
        </w:tabs>
        <w:spacing w:line="278" w:lineRule="auto" w:before="43" w:after="0"/>
        <w:ind w:left="1058" w:right="415" w:hanging="420"/>
        <w:jc w:val="left"/>
        <w:rPr>
          <w:sz w:val="21"/>
        </w:rPr>
      </w:pPr>
      <w:r>
        <w:rPr>
          <w:spacing w:val="-6"/>
          <w:w w:val="99"/>
          <w:sz w:val="21"/>
        </w:rPr>
        <w:t>上海市市场监督管理局关于印发《上海市网络交易平台商户规则合规指引》的通知</w:t>
      </w:r>
      <w:r>
        <w:rPr>
          <w:spacing w:val="-1"/>
          <w:w w:val="99"/>
          <w:sz w:val="21"/>
        </w:rPr>
        <w:t>（沪市监网</w:t>
      </w:r>
      <w:r>
        <w:rPr>
          <w:w w:val="99"/>
          <w:sz w:val="21"/>
        </w:rPr>
        <w:t>监〔</w:t>
      </w:r>
      <w:r>
        <w:rPr>
          <w:rFonts w:ascii="Times New Roman" w:eastAsia="Times New Roman"/>
          <w:spacing w:val="1"/>
          <w:w w:val="99"/>
          <w:sz w:val="21"/>
        </w:rPr>
        <w:t>202</w:t>
      </w:r>
      <w:r>
        <w:rPr>
          <w:rFonts w:ascii="Times New Roman" w:eastAsia="Times New Roman"/>
          <w:spacing w:val="-2"/>
          <w:w w:val="99"/>
          <w:sz w:val="21"/>
        </w:rPr>
        <w:t>5</w:t>
      </w:r>
      <w:r>
        <w:rPr>
          <w:spacing w:val="-1"/>
          <w:w w:val="99"/>
          <w:sz w:val="21"/>
        </w:rPr>
        <w:t>〕</w:t>
      </w:r>
      <w:r>
        <w:rPr>
          <w:rFonts w:ascii="Times New Roman" w:eastAsia="Times New Roman"/>
          <w:spacing w:val="1"/>
          <w:w w:val="99"/>
          <w:sz w:val="21"/>
        </w:rPr>
        <w:t>017</w:t>
      </w:r>
      <w:r>
        <w:rPr>
          <w:rFonts w:ascii="Times New Roman" w:eastAsia="Times New Roman"/>
          <w:spacing w:val="-2"/>
          <w:w w:val="99"/>
          <w:sz w:val="21"/>
        </w:rPr>
        <w:t>9</w:t>
      </w:r>
      <w:r>
        <w:rPr>
          <w:spacing w:val="-1"/>
          <w:w w:val="99"/>
          <w:sz w:val="21"/>
        </w:rPr>
        <w:t>号</w:t>
      </w:r>
      <w:r>
        <w:rPr>
          <w:w w:val="99"/>
          <w:sz w:val="21"/>
        </w:rPr>
        <w:t>）</w:t>
      </w:r>
    </w:p>
    <w:p>
      <w:pPr>
        <w:pStyle w:val="ListParagraph"/>
        <w:numPr>
          <w:ilvl w:val="0"/>
          <w:numId w:val="14"/>
        </w:numPr>
        <w:tabs>
          <w:tab w:pos="1059" w:val="left" w:leader="none"/>
        </w:tabs>
        <w:spacing w:line="278" w:lineRule="auto" w:before="0" w:after="0"/>
        <w:ind w:left="1058" w:right="203" w:hanging="420"/>
        <w:jc w:val="left"/>
        <w:rPr>
          <w:sz w:val="21"/>
        </w:rPr>
      </w:pPr>
      <w:r>
        <w:rPr>
          <w:sz w:val="21"/>
        </w:rPr>
        <w:t>人力资源社会保障部 国家发展改革委 交通运输部 应急部 市场监管总局 国家医保局 最高</w:t>
      </w:r>
      <w:r>
        <w:rPr>
          <w:sz w:val="21"/>
        </w:rPr>
        <w:t> </w:t>
      </w:r>
      <w:r>
        <w:rPr>
          <w:spacing w:val="-12"/>
          <w:sz w:val="21"/>
        </w:rPr>
        <w:t>人民法院 全国总工会《关于维护新就业形态劳动者劳动保障权益的指导意见</w:t>
      </w:r>
      <w:r>
        <w:rPr>
          <w:spacing w:val="-205"/>
          <w:sz w:val="21"/>
        </w:rPr>
        <w:t>》</w:t>
      </w:r>
      <w:r>
        <w:rPr>
          <w:sz w:val="21"/>
        </w:rPr>
        <w:t>（</w:t>
      </w:r>
      <w:r>
        <w:rPr>
          <w:spacing w:val="-20"/>
          <w:sz w:val="21"/>
        </w:rPr>
        <w:t>人社部发〔</w:t>
      </w:r>
      <w:r>
        <w:rPr>
          <w:rFonts w:ascii="Times New Roman" w:eastAsia="Times New Roman"/>
          <w:sz w:val="21"/>
        </w:rPr>
        <w:t>2021</w:t>
      </w:r>
      <w:r>
        <w:rPr>
          <w:sz w:val="21"/>
        </w:rPr>
        <w:t>〕 </w:t>
      </w:r>
      <w:r>
        <w:rPr>
          <w:rFonts w:ascii="Times New Roman" w:eastAsia="Times New Roman"/>
          <w:spacing w:val="-4"/>
          <w:sz w:val="21"/>
        </w:rPr>
        <w:t>56</w:t>
      </w:r>
      <w:r>
        <w:rPr>
          <w:spacing w:val="-4"/>
          <w:sz w:val="21"/>
        </w:rPr>
        <w:t>号）</w:t>
      </w:r>
    </w:p>
    <w:p>
      <w:pPr>
        <w:pStyle w:val="ListParagraph"/>
        <w:numPr>
          <w:ilvl w:val="0"/>
          <w:numId w:val="14"/>
        </w:numPr>
        <w:tabs>
          <w:tab w:pos="1059" w:val="left" w:leader="none"/>
        </w:tabs>
        <w:spacing w:line="278" w:lineRule="auto" w:before="0" w:after="0"/>
        <w:ind w:left="1058" w:right="412" w:hanging="420"/>
        <w:jc w:val="both"/>
        <w:rPr>
          <w:sz w:val="21"/>
        </w:rPr>
      </w:pPr>
      <w:r>
        <w:rPr>
          <w:spacing w:val="-5"/>
          <w:w w:val="99"/>
          <w:sz w:val="21"/>
        </w:rPr>
        <w:t>人力资源社会保障部办公厅关于印发《新就业形态劳动者休息和劳动报酬权益保障指引》《新</w:t>
      </w:r>
      <w:r>
        <w:rPr>
          <w:spacing w:val="-6"/>
          <w:w w:val="99"/>
          <w:sz w:val="21"/>
        </w:rPr>
        <w:t>就业形态劳动者劳动规则公示指引》《新就业形态劳动者权益维护服务指南》的通知</w:t>
      </w:r>
      <w:r>
        <w:rPr>
          <w:spacing w:val="2"/>
          <w:w w:val="99"/>
          <w:sz w:val="21"/>
        </w:rPr>
        <w:t>（</w:t>
      </w:r>
      <w:r>
        <w:rPr>
          <w:w w:val="99"/>
          <w:sz w:val="21"/>
        </w:rPr>
        <w:t>人社厅发〔</w:t>
      </w:r>
      <w:r>
        <w:rPr>
          <w:rFonts w:ascii="Times New Roman" w:eastAsia="Times New Roman"/>
          <w:spacing w:val="1"/>
          <w:w w:val="99"/>
          <w:sz w:val="21"/>
        </w:rPr>
        <w:t>202</w:t>
      </w:r>
      <w:r>
        <w:rPr>
          <w:rFonts w:ascii="Times New Roman" w:eastAsia="Times New Roman"/>
          <w:spacing w:val="-2"/>
          <w:w w:val="99"/>
          <w:sz w:val="21"/>
        </w:rPr>
        <w:t>3</w:t>
      </w:r>
      <w:r>
        <w:rPr>
          <w:spacing w:val="-1"/>
          <w:w w:val="99"/>
          <w:sz w:val="21"/>
        </w:rPr>
        <w:t>〕</w:t>
      </w:r>
      <w:r>
        <w:rPr>
          <w:rFonts w:ascii="Times New Roman" w:eastAsia="Times New Roman"/>
          <w:spacing w:val="1"/>
          <w:w w:val="99"/>
          <w:sz w:val="21"/>
        </w:rPr>
        <w:t>50</w:t>
      </w:r>
      <w:r>
        <w:rPr>
          <w:spacing w:val="-1"/>
          <w:w w:val="99"/>
          <w:sz w:val="21"/>
        </w:rPr>
        <w:t>号</w:t>
      </w:r>
      <w:r>
        <w:rPr>
          <w:w w:val="99"/>
          <w:sz w:val="21"/>
        </w:rPr>
        <w:t>）</w:t>
      </w:r>
    </w:p>
    <w:p>
      <w:pPr>
        <w:pStyle w:val="ListParagraph"/>
        <w:numPr>
          <w:ilvl w:val="0"/>
          <w:numId w:val="14"/>
        </w:numPr>
        <w:tabs>
          <w:tab w:pos="1059" w:val="left" w:leader="none"/>
        </w:tabs>
        <w:spacing w:line="278" w:lineRule="auto" w:before="0" w:after="0"/>
        <w:ind w:left="1058" w:right="412" w:hanging="420"/>
        <w:jc w:val="both"/>
        <w:rPr>
          <w:sz w:val="21"/>
        </w:rPr>
      </w:pPr>
      <w:r>
        <w:rPr>
          <w:sz w:val="21"/>
        </w:rPr>
        <w:t>人力资源社会保障部 国家发展改革委 财政部 交通运输部 商务部 国家税务总局 市场监管</w:t>
      </w:r>
      <w:r>
        <w:rPr>
          <w:spacing w:val="-10"/>
          <w:sz w:val="21"/>
        </w:rPr>
        <w:t>总局 金融监管总局 全国总工会《关于扩大新就业形态人员职业伤害保障试点的通知》</w:t>
      </w:r>
      <w:r>
        <w:rPr>
          <w:sz w:val="21"/>
        </w:rPr>
        <w:t>（人社</w:t>
      </w:r>
      <w:r>
        <w:rPr>
          <w:spacing w:val="-2"/>
          <w:sz w:val="21"/>
        </w:rPr>
        <w:t>部发〔</w:t>
      </w:r>
      <w:r>
        <w:rPr>
          <w:rFonts w:ascii="Times New Roman" w:eastAsia="Times New Roman"/>
          <w:spacing w:val="-2"/>
          <w:sz w:val="21"/>
        </w:rPr>
        <w:t>2025</w:t>
      </w:r>
      <w:r>
        <w:rPr>
          <w:spacing w:val="-2"/>
          <w:sz w:val="21"/>
        </w:rPr>
        <w:t>〕</w:t>
      </w:r>
      <w:r>
        <w:rPr>
          <w:rFonts w:ascii="Times New Roman" w:eastAsia="Times New Roman"/>
          <w:spacing w:val="-2"/>
          <w:sz w:val="21"/>
        </w:rPr>
        <w:t>24</w:t>
      </w:r>
      <w:r>
        <w:rPr>
          <w:spacing w:val="-2"/>
          <w:sz w:val="21"/>
        </w:rPr>
        <w:t>号）</w:t>
      </w:r>
    </w:p>
    <w:p>
      <w:pPr>
        <w:pStyle w:val="ListParagraph"/>
        <w:numPr>
          <w:ilvl w:val="0"/>
          <w:numId w:val="14"/>
        </w:numPr>
        <w:tabs>
          <w:tab w:pos="1059" w:val="left" w:leader="none"/>
        </w:tabs>
        <w:spacing w:line="269" w:lineRule="exact" w:before="0" w:after="0"/>
        <w:ind w:left="1058" w:right="0" w:hanging="421"/>
        <w:jc w:val="both"/>
        <w:rPr>
          <w:sz w:val="21"/>
        </w:rPr>
      </w:pPr>
      <w:r>
        <w:rPr>
          <w:w w:val="95"/>
          <w:sz w:val="21"/>
        </w:rPr>
        <w:t>《关于确立劳动关系有关事项的通知》（劳社部发〔</w:t>
      </w:r>
      <w:r>
        <w:rPr>
          <w:rFonts w:ascii="Times New Roman" w:eastAsia="Times New Roman"/>
          <w:w w:val="95"/>
          <w:sz w:val="21"/>
        </w:rPr>
        <w:t>2005</w:t>
      </w:r>
      <w:r>
        <w:rPr>
          <w:w w:val="95"/>
          <w:sz w:val="21"/>
        </w:rPr>
        <w:t>〕</w:t>
      </w:r>
      <w:r>
        <w:rPr>
          <w:rFonts w:ascii="Times New Roman" w:eastAsia="Times New Roman"/>
          <w:w w:val="95"/>
          <w:sz w:val="21"/>
        </w:rPr>
        <w:t>12</w:t>
      </w:r>
      <w:r>
        <w:rPr>
          <w:w w:val="95"/>
          <w:sz w:val="21"/>
        </w:rPr>
        <w:t>号</w:t>
      </w:r>
      <w:r>
        <w:rPr>
          <w:spacing w:val="-10"/>
          <w:w w:val="95"/>
          <w:sz w:val="21"/>
        </w:rPr>
        <w:t>）</w:t>
      </w:r>
    </w:p>
    <w:p>
      <w:pPr>
        <w:pStyle w:val="ListParagraph"/>
        <w:numPr>
          <w:ilvl w:val="0"/>
          <w:numId w:val="14"/>
        </w:numPr>
        <w:tabs>
          <w:tab w:pos="1059" w:val="left" w:leader="none"/>
        </w:tabs>
        <w:spacing w:line="240" w:lineRule="auto" w:before="42" w:after="0"/>
        <w:ind w:left="1058" w:right="0" w:hanging="421"/>
        <w:jc w:val="both"/>
        <w:rPr>
          <w:sz w:val="21"/>
        </w:rPr>
      </w:pPr>
      <w:r>
        <w:rPr>
          <w:w w:val="95"/>
          <w:sz w:val="21"/>
        </w:rPr>
        <w:t>《国务院办公厅关于促进即时配送行业高质量发展的指导意见》（国办发〔</w:t>
      </w:r>
      <w:r>
        <w:rPr>
          <w:rFonts w:ascii="Times New Roman" w:eastAsia="Times New Roman"/>
          <w:w w:val="95"/>
          <w:sz w:val="21"/>
        </w:rPr>
        <w:t>2024</w:t>
      </w:r>
      <w:r>
        <w:rPr>
          <w:w w:val="95"/>
          <w:sz w:val="21"/>
        </w:rPr>
        <w:t>〕</w:t>
      </w:r>
      <w:r>
        <w:rPr>
          <w:rFonts w:ascii="Times New Roman" w:eastAsia="Times New Roman"/>
          <w:w w:val="95"/>
          <w:sz w:val="21"/>
        </w:rPr>
        <w:t>3</w:t>
      </w:r>
      <w:r>
        <w:rPr>
          <w:w w:val="95"/>
          <w:sz w:val="21"/>
        </w:rPr>
        <w:t>号</w:t>
      </w:r>
      <w:r>
        <w:rPr>
          <w:spacing w:val="-10"/>
          <w:w w:val="95"/>
          <w:sz w:val="21"/>
        </w:rPr>
        <w:t>）</w:t>
      </w:r>
    </w:p>
    <w:p>
      <w:pPr>
        <w:pStyle w:val="ListParagraph"/>
        <w:numPr>
          <w:ilvl w:val="0"/>
          <w:numId w:val="14"/>
        </w:numPr>
        <w:tabs>
          <w:tab w:pos="1059" w:val="left" w:leader="none"/>
        </w:tabs>
        <w:spacing w:line="240" w:lineRule="auto" w:before="43" w:after="0"/>
        <w:ind w:left="1058" w:right="0" w:hanging="421"/>
        <w:jc w:val="both"/>
        <w:rPr>
          <w:sz w:val="21"/>
        </w:rPr>
      </w:pPr>
      <w:r>
        <w:rPr>
          <w:w w:val="95"/>
          <w:sz w:val="21"/>
        </w:rPr>
        <w:t>《网约配送员国家职业技能标准（</w:t>
      </w:r>
      <w:r>
        <w:rPr>
          <w:rFonts w:ascii="Times New Roman" w:eastAsia="Times New Roman"/>
          <w:w w:val="95"/>
          <w:sz w:val="21"/>
        </w:rPr>
        <w:t>2021</w:t>
      </w:r>
      <w:r>
        <w:rPr>
          <w:w w:val="95"/>
          <w:sz w:val="21"/>
        </w:rPr>
        <w:t>年版）》（人社厅发〔</w:t>
      </w:r>
      <w:r>
        <w:rPr>
          <w:rFonts w:ascii="Times New Roman" w:eastAsia="Times New Roman"/>
          <w:w w:val="95"/>
          <w:sz w:val="21"/>
        </w:rPr>
        <w:t>2021</w:t>
      </w:r>
      <w:r>
        <w:rPr>
          <w:w w:val="95"/>
          <w:sz w:val="21"/>
        </w:rPr>
        <w:t>〕</w:t>
      </w:r>
      <w:r>
        <w:rPr>
          <w:rFonts w:ascii="Times New Roman" w:eastAsia="Times New Roman"/>
          <w:w w:val="95"/>
          <w:sz w:val="21"/>
        </w:rPr>
        <w:t>92</w:t>
      </w:r>
      <w:r>
        <w:rPr>
          <w:w w:val="95"/>
          <w:sz w:val="21"/>
        </w:rPr>
        <w:t>号</w:t>
      </w:r>
      <w:r>
        <w:rPr>
          <w:spacing w:val="-10"/>
          <w:w w:val="95"/>
          <w:sz w:val="21"/>
        </w:rPr>
        <w:t>）</w:t>
      </w:r>
    </w:p>
    <w:p>
      <w:pPr>
        <w:pStyle w:val="BodyText"/>
        <w:rPr>
          <w:sz w:val="20"/>
        </w:rPr>
      </w:pPr>
    </w:p>
    <w:p>
      <w:pPr>
        <w:pStyle w:val="BodyText"/>
        <w:spacing w:before="9"/>
      </w:pPr>
      <w:r>
        <w:rPr/>
        <w:drawing>
          <wp:anchor distT="0" distB="0" distL="0" distR="0" allowOverlap="1" layoutInCell="1" locked="0" behindDoc="0" simplePos="0" relativeHeight="4">
            <wp:simplePos x="0" y="0"/>
            <wp:positionH relativeFrom="page">
              <wp:posOffset>3127248</wp:posOffset>
            </wp:positionH>
            <wp:positionV relativeFrom="paragraph">
              <wp:posOffset>191809</wp:posOffset>
            </wp:positionV>
            <wp:extent cx="1484560" cy="12668"/>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11" cstate="print"/>
                    <a:stretch>
                      <a:fillRect/>
                    </a:stretch>
                  </pic:blipFill>
                  <pic:spPr>
                    <a:xfrm>
                      <a:off x="0" y="0"/>
                      <a:ext cx="1484560" cy="12668"/>
                    </a:xfrm>
                    <a:prstGeom prst="rect">
                      <a:avLst/>
                    </a:prstGeom>
                  </pic:spPr>
                </pic:pic>
              </a:graphicData>
            </a:graphic>
          </wp:anchor>
        </w:drawing>
      </w:r>
    </w:p>
    <w:sectPr>
      <w:pgSz w:w="11910" w:h="16840"/>
      <w:pgMar w:header="1449" w:footer="1141" w:top="1640" w:bottom="1340" w:left="120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黑体">
    <w:altName w:val="黑体"/>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5.280029pt;margin-top:773.834656pt;width:16.1pt;height:11pt;mso-position-horizontal-relative:page;mso-position-vertical-relative:page;z-index:-16152064" type="#_x0000_t202" id="docshape4" filled="false" stroked="false">
          <v:textbox inset="0,0,0,0">
            <w:txbxContent>
              <w:p>
                <w:pPr>
                  <w:spacing w:line="220" w:lineRule="exact" w:before="0"/>
                  <w:ind w:left="60" w:right="0" w:firstLine="0"/>
                  <w:jc w:val="left"/>
                  <w:rPr>
                    <w:sz w:val="18"/>
                  </w:rPr>
                </w:pPr>
                <w:r>
                  <w:rPr>
                    <w:spacing w:val="-5"/>
                    <w:sz w:val="18"/>
                  </w:rPr>
                  <w:fldChar w:fldCharType="begin"/>
                </w:r>
                <w:r>
                  <w:rPr>
                    <w:spacing w:val="-5"/>
                    <w:sz w:val="18"/>
                  </w:rPr>
                  <w:instrText> PAGE  \* ROMAN </w:instrText>
                </w:r>
                <w:r>
                  <w:rPr>
                    <w:spacing w:val="-5"/>
                    <w:sz w:val="18"/>
                  </w:rPr>
                  <w:fldChar w:fldCharType="separate"/>
                </w:r>
                <w:r>
                  <w:rPr>
                    <w:spacing w:val="-5"/>
                    <w:sz w:val="18"/>
                  </w:rPr>
                  <w:t>II</w:t>
                </w:r>
                <w:r>
                  <w:rPr>
                    <w:spacing w:val="-5"/>
                    <w:sz w:val="18"/>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5.280029pt;margin-top:773.834656pt;width:16.1pt;height:11pt;mso-position-horizontal-relative:page;mso-position-vertical-relative:page;z-index:-16151040" type="#_x0000_t202" id="docshape6" filled="false" stroked="false">
          <v:textbox inset="0,0,0,0">
            <w:txbxContent>
              <w:p>
                <w:pPr>
                  <w:spacing w:line="220"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53.55899pt;margin-top:71.428558pt;width:86.1pt;height:12.45pt;mso-position-horizontal-relative:page;mso-position-vertical-relative:page;z-index:-16152576" type="#_x0000_t202" id="docshape3" filled="false" stroked="false">
          <v:textbox inset="0,0,0,0">
            <w:txbxContent>
              <w:p>
                <w:pPr>
                  <w:pStyle w:val="BodyText"/>
                  <w:spacing w:line="249" w:lineRule="exact"/>
                  <w:ind w:left="20"/>
                  <w:rPr>
                    <w:rFonts w:ascii="黑体" w:hAnsi="黑体"/>
                  </w:rPr>
                </w:pPr>
                <w:r>
                  <w:rPr>
                    <w:rFonts w:ascii="黑体" w:hAnsi="黑体"/>
                  </w:rPr>
                  <w:t>GB/T</w:t>
                </w:r>
                <w:r>
                  <w:rPr>
                    <w:rFonts w:ascii="黑体" w:hAnsi="黑体"/>
                    <w:spacing w:val="-9"/>
                  </w:rPr>
                  <w:t> </w:t>
                </w:r>
                <w:r>
                  <w:rPr>
                    <w:rFonts w:ascii="黑体" w:hAnsi="黑体"/>
                  </w:rPr>
                  <w:t>XXXXX</w:t>
                </w:r>
                <w:r>
                  <w:rPr/>
                  <w:t>—</w:t>
                </w:r>
                <w:r>
                  <w:rPr>
                    <w:rFonts w:ascii="黑体" w:hAnsi="黑体"/>
                    <w:spacing w:val="-4"/>
                  </w:rPr>
                  <w:t>XXXX</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3.55899pt;margin-top:71.428558pt;width:86.1pt;height:12.45pt;mso-position-horizontal-relative:page;mso-position-vertical-relative:page;z-index:-16151552" type="#_x0000_t202" id="docshape5" filled="false" stroked="false">
          <v:textbox inset="0,0,0,0">
            <w:txbxContent>
              <w:p>
                <w:pPr>
                  <w:pStyle w:val="BodyText"/>
                  <w:spacing w:line="249" w:lineRule="exact"/>
                  <w:ind w:left="20"/>
                  <w:rPr>
                    <w:rFonts w:ascii="黑体" w:hAnsi="黑体"/>
                  </w:rPr>
                </w:pPr>
                <w:r>
                  <w:rPr>
                    <w:rFonts w:ascii="黑体" w:hAnsi="黑体"/>
                  </w:rPr>
                  <w:t>GB/T</w:t>
                </w:r>
                <w:r>
                  <w:rPr>
                    <w:rFonts w:ascii="黑体" w:hAnsi="黑体"/>
                    <w:spacing w:val="-9"/>
                  </w:rPr>
                  <w:t> </w:t>
                </w:r>
                <w:r>
                  <w:rPr>
                    <w:rFonts w:ascii="黑体" w:hAnsi="黑体"/>
                  </w:rPr>
                  <w:t>XXXXX</w:t>
                </w:r>
                <w:r>
                  <w:rPr/>
                  <w:t>—</w:t>
                </w:r>
                <w:r>
                  <w:rPr>
                    <w:rFonts w:ascii="黑体" w:hAnsi="黑体"/>
                    <w:spacing w:val="-4"/>
                  </w:rPr>
                  <w:t>XXXX</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1058" w:hanging="420"/>
        <w:jc w:val="left"/>
      </w:pPr>
      <w:rPr>
        <w:rFonts w:hint="default" w:ascii="Times New Roman" w:hAnsi="Times New Roman" w:eastAsia="Times New Roman" w:cs="Times New Roman"/>
        <w:b w:val="0"/>
        <w:bCs w:val="0"/>
        <w:i w:val="0"/>
        <w:iCs w:val="0"/>
        <w:w w:val="99"/>
        <w:sz w:val="21"/>
        <w:szCs w:val="21"/>
      </w:rPr>
    </w:lvl>
    <w:lvl w:ilvl="1">
      <w:start w:val="0"/>
      <w:numFmt w:val="bullet"/>
      <w:lvlText w:val="•"/>
      <w:lvlJc w:val="left"/>
      <w:pPr>
        <w:ind w:left="1952" w:hanging="420"/>
      </w:pPr>
      <w:rPr>
        <w:rFonts w:hint="default"/>
      </w:rPr>
    </w:lvl>
    <w:lvl w:ilvl="2">
      <w:start w:val="0"/>
      <w:numFmt w:val="bullet"/>
      <w:lvlText w:val="•"/>
      <w:lvlJc w:val="left"/>
      <w:pPr>
        <w:ind w:left="2845" w:hanging="420"/>
      </w:pPr>
      <w:rPr>
        <w:rFonts w:hint="default"/>
      </w:rPr>
    </w:lvl>
    <w:lvl w:ilvl="3">
      <w:start w:val="0"/>
      <w:numFmt w:val="bullet"/>
      <w:lvlText w:val="•"/>
      <w:lvlJc w:val="left"/>
      <w:pPr>
        <w:ind w:left="3737" w:hanging="420"/>
      </w:pPr>
      <w:rPr>
        <w:rFonts w:hint="default"/>
      </w:rPr>
    </w:lvl>
    <w:lvl w:ilvl="4">
      <w:start w:val="0"/>
      <w:numFmt w:val="bullet"/>
      <w:lvlText w:val="•"/>
      <w:lvlJc w:val="left"/>
      <w:pPr>
        <w:ind w:left="4630" w:hanging="420"/>
      </w:pPr>
      <w:rPr>
        <w:rFonts w:hint="default"/>
      </w:rPr>
    </w:lvl>
    <w:lvl w:ilvl="5">
      <w:start w:val="0"/>
      <w:numFmt w:val="bullet"/>
      <w:lvlText w:val="•"/>
      <w:lvlJc w:val="left"/>
      <w:pPr>
        <w:ind w:left="5523" w:hanging="420"/>
      </w:pPr>
      <w:rPr>
        <w:rFonts w:hint="default"/>
      </w:rPr>
    </w:lvl>
    <w:lvl w:ilvl="6">
      <w:start w:val="0"/>
      <w:numFmt w:val="bullet"/>
      <w:lvlText w:val="•"/>
      <w:lvlJc w:val="left"/>
      <w:pPr>
        <w:ind w:left="6415" w:hanging="420"/>
      </w:pPr>
      <w:rPr>
        <w:rFonts w:hint="default"/>
      </w:rPr>
    </w:lvl>
    <w:lvl w:ilvl="7">
      <w:start w:val="0"/>
      <w:numFmt w:val="bullet"/>
      <w:lvlText w:val="•"/>
      <w:lvlJc w:val="left"/>
      <w:pPr>
        <w:ind w:left="7308" w:hanging="420"/>
      </w:pPr>
      <w:rPr>
        <w:rFonts w:hint="default"/>
      </w:rPr>
    </w:lvl>
    <w:lvl w:ilvl="8">
      <w:start w:val="0"/>
      <w:numFmt w:val="bullet"/>
      <w:lvlText w:val="•"/>
      <w:lvlJc w:val="left"/>
      <w:pPr>
        <w:ind w:left="8200" w:hanging="420"/>
      </w:pPr>
      <w:rPr>
        <w:rFonts w:hint="default"/>
      </w:rPr>
    </w:lvl>
  </w:abstractNum>
  <w:abstractNum w:abstractNumId="12">
    <w:multiLevelType w:val="hybridMultilevel"/>
    <w:lvl w:ilvl="0">
      <w:start w:val="1"/>
      <w:numFmt w:val="upperLetter"/>
      <w:lvlText w:val="%1"/>
      <w:lvlJc w:val="left"/>
      <w:pPr>
        <w:ind w:left="657" w:hanging="440"/>
        <w:jc w:val="left"/>
      </w:pPr>
      <w:rPr>
        <w:rFonts w:hint="default"/>
      </w:rPr>
    </w:lvl>
    <w:lvl w:ilvl="1">
      <w:start w:val="1"/>
      <w:numFmt w:val="decimal"/>
      <w:lvlText w:val="%1.%2"/>
      <w:lvlJc w:val="left"/>
      <w:pPr>
        <w:ind w:left="657" w:hanging="440"/>
        <w:jc w:val="left"/>
      </w:pPr>
      <w:rPr>
        <w:rFonts w:hint="default" w:ascii="黑体" w:hAnsi="黑体" w:eastAsia="黑体" w:cs="黑体"/>
        <w:b w:val="0"/>
        <w:bCs w:val="0"/>
        <w:i w:val="0"/>
        <w:iCs w:val="0"/>
        <w:spacing w:val="0"/>
        <w:w w:val="99"/>
        <w:sz w:val="21"/>
        <w:szCs w:val="21"/>
      </w:rPr>
    </w:lvl>
    <w:lvl w:ilvl="2">
      <w:start w:val="1"/>
      <w:numFmt w:val="decimal"/>
      <w:lvlText w:val="%1.%2.%3"/>
      <w:lvlJc w:val="left"/>
      <w:pPr>
        <w:ind w:left="638" w:hanging="658"/>
        <w:jc w:val="left"/>
      </w:pPr>
      <w:rPr>
        <w:rFonts w:hint="default" w:ascii="黑体" w:hAnsi="黑体" w:eastAsia="黑体" w:cs="黑体"/>
        <w:b w:val="0"/>
        <w:bCs w:val="0"/>
        <w:i w:val="0"/>
        <w:iCs w:val="0"/>
        <w:spacing w:val="0"/>
        <w:w w:val="99"/>
        <w:sz w:val="21"/>
        <w:szCs w:val="21"/>
      </w:rPr>
    </w:lvl>
    <w:lvl w:ilvl="3">
      <w:start w:val="0"/>
      <w:numFmt w:val="bullet"/>
      <w:lvlText w:val="•"/>
      <w:lvlJc w:val="left"/>
      <w:pPr>
        <w:ind w:left="2732" w:hanging="658"/>
      </w:pPr>
      <w:rPr>
        <w:rFonts w:hint="default"/>
      </w:rPr>
    </w:lvl>
    <w:lvl w:ilvl="4">
      <w:start w:val="0"/>
      <w:numFmt w:val="bullet"/>
      <w:lvlText w:val="•"/>
      <w:lvlJc w:val="left"/>
      <w:pPr>
        <w:ind w:left="3768" w:hanging="658"/>
      </w:pPr>
      <w:rPr>
        <w:rFonts w:hint="default"/>
      </w:rPr>
    </w:lvl>
    <w:lvl w:ilvl="5">
      <w:start w:val="0"/>
      <w:numFmt w:val="bullet"/>
      <w:lvlText w:val="•"/>
      <w:lvlJc w:val="left"/>
      <w:pPr>
        <w:ind w:left="4804" w:hanging="658"/>
      </w:pPr>
      <w:rPr>
        <w:rFonts w:hint="default"/>
      </w:rPr>
    </w:lvl>
    <w:lvl w:ilvl="6">
      <w:start w:val="0"/>
      <w:numFmt w:val="bullet"/>
      <w:lvlText w:val="•"/>
      <w:lvlJc w:val="left"/>
      <w:pPr>
        <w:ind w:left="5841" w:hanging="658"/>
      </w:pPr>
      <w:rPr>
        <w:rFonts w:hint="default"/>
      </w:rPr>
    </w:lvl>
    <w:lvl w:ilvl="7">
      <w:start w:val="0"/>
      <w:numFmt w:val="bullet"/>
      <w:lvlText w:val="•"/>
      <w:lvlJc w:val="left"/>
      <w:pPr>
        <w:ind w:left="6877" w:hanging="658"/>
      </w:pPr>
      <w:rPr>
        <w:rFonts w:hint="default"/>
      </w:rPr>
    </w:lvl>
    <w:lvl w:ilvl="8">
      <w:start w:val="0"/>
      <w:numFmt w:val="bullet"/>
      <w:lvlText w:val="•"/>
      <w:lvlJc w:val="left"/>
      <w:pPr>
        <w:ind w:left="7913" w:hanging="658"/>
      </w:pPr>
      <w:rPr>
        <w:rFonts w:hint="default"/>
      </w:rPr>
    </w:lvl>
  </w:abstractNum>
  <w:abstractNum w:abstractNumId="11">
    <w:multiLevelType w:val="hybridMultilevel"/>
    <w:lvl w:ilvl="0">
      <w:start w:val="6"/>
      <w:numFmt w:val="decimal"/>
      <w:lvlText w:val="%1"/>
      <w:lvlJc w:val="left"/>
      <w:pPr>
        <w:ind w:left="218" w:hanging="946"/>
        <w:jc w:val="left"/>
      </w:pPr>
      <w:rPr>
        <w:rFonts w:hint="default"/>
      </w:rPr>
    </w:lvl>
    <w:lvl w:ilvl="1">
      <w:start w:val="4"/>
      <w:numFmt w:val="decimal"/>
      <w:lvlText w:val="%1.%2"/>
      <w:lvlJc w:val="left"/>
      <w:pPr>
        <w:ind w:left="218" w:hanging="946"/>
        <w:jc w:val="left"/>
      </w:pPr>
      <w:rPr>
        <w:rFonts w:hint="default"/>
      </w:rPr>
    </w:lvl>
    <w:lvl w:ilvl="2">
      <w:start w:val="3"/>
      <w:numFmt w:val="decimal"/>
      <w:lvlText w:val="%1.%2.%3"/>
      <w:lvlJc w:val="left"/>
      <w:pPr>
        <w:ind w:left="218" w:hanging="946"/>
        <w:jc w:val="left"/>
      </w:pPr>
      <w:rPr>
        <w:rFonts w:hint="default"/>
      </w:rPr>
    </w:lvl>
    <w:lvl w:ilvl="3">
      <w:start w:val="1"/>
      <w:numFmt w:val="decimal"/>
      <w:lvlText w:val="%1.%2.%3.%4"/>
      <w:lvlJc w:val="left"/>
      <w:pPr>
        <w:ind w:left="218" w:hanging="946"/>
        <w:jc w:val="left"/>
      </w:pPr>
      <w:rPr>
        <w:rFonts w:hint="default" w:ascii="黑体" w:hAnsi="黑体" w:eastAsia="黑体" w:cs="黑体"/>
        <w:b w:val="0"/>
        <w:bCs w:val="0"/>
        <w:i w:val="0"/>
        <w:iCs w:val="0"/>
        <w:spacing w:val="-2"/>
        <w:w w:val="99"/>
        <w:sz w:val="21"/>
        <w:szCs w:val="21"/>
      </w:rPr>
    </w:lvl>
    <w:lvl w:ilvl="4">
      <w:start w:val="0"/>
      <w:numFmt w:val="bullet"/>
      <w:lvlText w:val="•"/>
      <w:lvlJc w:val="left"/>
      <w:pPr>
        <w:ind w:left="4126" w:hanging="946"/>
      </w:pPr>
      <w:rPr>
        <w:rFonts w:hint="default"/>
      </w:rPr>
    </w:lvl>
    <w:lvl w:ilvl="5">
      <w:start w:val="0"/>
      <w:numFmt w:val="bullet"/>
      <w:lvlText w:val="•"/>
      <w:lvlJc w:val="left"/>
      <w:pPr>
        <w:ind w:left="5103" w:hanging="946"/>
      </w:pPr>
      <w:rPr>
        <w:rFonts w:hint="default"/>
      </w:rPr>
    </w:lvl>
    <w:lvl w:ilvl="6">
      <w:start w:val="0"/>
      <w:numFmt w:val="bullet"/>
      <w:lvlText w:val="•"/>
      <w:lvlJc w:val="left"/>
      <w:pPr>
        <w:ind w:left="6079" w:hanging="946"/>
      </w:pPr>
      <w:rPr>
        <w:rFonts w:hint="default"/>
      </w:rPr>
    </w:lvl>
    <w:lvl w:ilvl="7">
      <w:start w:val="0"/>
      <w:numFmt w:val="bullet"/>
      <w:lvlText w:val="•"/>
      <w:lvlJc w:val="left"/>
      <w:pPr>
        <w:ind w:left="7056" w:hanging="946"/>
      </w:pPr>
      <w:rPr>
        <w:rFonts w:hint="default"/>
      </w:rPr>
    </w:lvl>
    <w:lvl w:ilvl="8">
      <w:start w:val="0"/>
      <w:numFmt w:val="bullet"/>
      <w:lvlText w:val="•"/>
      <w:lvlJc w:val="left"/>
      <w:pPr>
        <w:ind w:left="8032" w:hanging="946"/>
      </w:pPr>
      <w:rPr>
        <w:rFonts w:hint="default"/>
      </w:rPr>
    </w:lvl>
  </w:abstractNum>
  <w:abstractNum w:abstractNumId="10">
    <w:multiLevelType w:val="hybridMultilevel"/>
    <w:lvl w:ilvl="0">
      <w:start w:val="6"/>
      <w:numFmt w:val="decimal"/>
      <w:lvlText w:val="%1"/>
      <w:lvlJc w:val="left"/>
      <w:pPr>
        <w:ind w:left="218" w:hanging="946"/>
        <w:jc w:val="left"/>
      </w:pPr>
      <w:rPr>
        <w:rFonts w:hint="default"/>
      </w:rPr>
    </w:lvl>
    <w:lvl w:ilvl="1">
      <w:start w:val="4"/>
      <w:numFmt w:val="decimal"/>
      <w:lvlText w:val="%1.%2"/>
      <w:lvlJc w:val="left"/>
      <w:pPr>
        <w:ind w:left="218" w:hanging="946"/>
        <w:jc w:val="left"/>
      </w:pPr>
      <w:rPr>
        <w:rFonts w:hint="default"/>
      </w:rPr>
    </w:lvl>
    <w:lvl w:ilvl="2">
      <w:start w:val="2"/>
      <w:numFmt w:val="decimal"/>
      <w:lvlText w:val="%1.%2.%3"/>
      <w:lvlJc w:val="left"/>
      <w:pPr>
        <w:ind w:left="218" w:hanging="946"/>
        <w:jc w:val="left"/>
      </w:pPr>
      <w:rPr>
        <w:rFonts w:hint="default"/>
      </w:rPr>
    </w:lvl>
    <w:lvl w:ilvl="3">
      <w:start w:val="1"/>
      <w:numFmt w:val="decimal"/>
      <w:lvlText w:val="%1.%2.%3.%4"/>
      <w:lvlJc w:val="left"/>
      <w:pPr>
        <w:ind w:left="218" w:hanging="946"/>
        <w:jc w:val="left"/>
      </w:pPr>
      <w:rPr>
        <w:rFonts w:hint="default" w:ascii="黑体" w:hAnsi="黑体" w:eastAsia="黑体" w:cs="黑体"/>
        <w:b w:val="0"/>
        <w:bCs w:val="0"/>
        <w:i w:val="0"/>
        <w:iCs w:val="0"/>
        <w:spacing w:val="-2"/>
        <w:w w:val="99"/>
        <w:sz w:val="21"/>
        <w:szCs w:val="21"/>
      </w:rPr>
    </w:lvl>
    <w:lvl w:ilvl="4">
      <w:start w:val="1"/>
      <w:numFmt w:val="lowerLetter"/>
      <w:lvlText w:val="%5)"/>
      <w:lvlJc w:val="left"/>
      <w:pPr>
        <w:ind w:left="1068" w:hanging="425"/>
        <w:jc w:val="left"/>
      </w:pPr>
      <w:rPr>
        <w:rFonts w:hint="default" w:ascii="宋体" w:hAnsi="宋体" w:eastAsia="宋体" w:cs="宋体"/>
        <w:b w:val="0"/>
        <w:bCs w:val="0"/>
        <w:i w:val="0"/>
        <w:iCs w:val="0"/>
        <w:spacing w:val="0"/>
        <w:w w:val="99"/>
        <w:sz w:val="21"/>
        <w:szCs w:val="21"/>
      </w:rPr>
    </w:lvl>
    <w:lvl w:ilvl="5">
      <w:start w:val="0"/>
      <w:numFmt w:val="bullet"/>
      <w:lvlText w:val="•"/>
      <w:lvlJc w:val="left"/>
      <w:pPr>
        <w:ind w:left="5027" w:hanging="425"/>
      </w:pPr>
      <w:rPr>
        <w:rFonts w:hint="default"/>
      </w:rPr>
    </w:lvl>
    <w:lvl w:ilvl="6">
      <w:start w:val="0"/>
      <w:numFmt w:val="bullet"/>
      <w:lvlText w:val="•"/>
      <w:lvlJc w:val="left"/>
      <w:pPr>
        <w:ind w:left="6018" w:hanging="425"/>
      </w:pPr>
      <w:rPr>
        <w:rFonts w:hint="default"/>
      </w:rPr>
    </w:lvl>
    <w:lvl w:ilvl="7">
      <w:start w:val="0"/>
      <w:numFmt w:val="bullet"/>
      <w:lvlText w:val="•"/>
      <w:lvlJc w:val="left"/>
      <w:pPr>
        <w:ind w:left="7010" w:hanging="425"/>
      </w:pPr>
      <w:rPr>
        <w:rFonts w:hint="default"/>
      </w:rPr>
    </w:lvl>
    <w:lvl w:ilvl="8">
      <w:start w:val="0"/>
      <w:numFmt w:val="bullet"/>
      <w:lvlText w:val="•"/>
      <w:lvlJc w:val="left"/>
      <w:pPr>
        <w:ind w:left="8002" w:hanging="425"/>
      </w:pPr>
      <w:rPr>
        <w:rFonts w:hint="default"/>
      </w:rPr>
    </w:lvl>
  </w:abstractNum>
  <w:abstractNum w:abstractNumId="9">
    <w:multiLevelType w:val="hybridMultilevel"/>
    <w:lvl w:ilvl="0">
      <w:start w:val="6"/>
      <w:numFmt w:val="decimal"/>
      <w:lvlText w:val="%1"/>
      <w:lvlJc w:val="left"/>
      <w:pPr>
        <w:ind w:left="218" w:hanging="946"/>
        <w:jc w:val="left"/>
      </w:pPr>
      <w:rPr>
        <w:rFonts w:hint="default"/>
      </w:rPr>
    </w:lvl>
    <w:lvl w:ilvl="1">
      <w:start w:val="4"/>
      <w:numFmt w:val="decimal"/>
      <w:lvlText w:val="%1.%2"/>
      <w:lvlJc w:val="left"/>
      <w:pPr>
        <w:ind w:left="218" w:hanging="946"/>
        <w:jc w:val="left"/>
      </w:pPr>
      <w:rPr>
        <w:rFonts w:hint="default"/>
      </w:rPr>
    </w:lvl>
    <w:lvl w:ilvl="2">
      <w:start w:val="1"/>
      <w:numFmt w:val="decimal"/>
      <w:lvlText w:val="%1.%2.%3"/>
      <w:lvlJc w:val="left"/>
      <w:pPr>
        <w:ind w:left="218" w:hanging="946"/>
        <w:jc w:val="left"/>
      </w:pPr>
      <w:rPr>
        <w:rFonts w:hint="default"/>
      </w:rPr>
    </w:lvl>
    <w:lvl w:ilvl="3">
      <w:start w:val="1"/>
      <w:numFmt w:val="decimal"/>
      <w:lvlText w:val="%1.%2.%3.%4"/>
      <w:lvlJc w:val="left"/>
      <w:pPr>
        <w:ind w:left="218" w:hanging="946"/>
        <w:jc w:val="left"/>
      </w:pPr>
      <w:rPr>
        <w:rFonts w:hint="default" w:ascii="黑体" w:hAnsi="黑体" w:eastAsia="黑体" w:cs="黑体"/>
        <w:b w:val="0"/>
        <w:bCs w:val="0"/>
        <w:i w:val="0"/>
        <w:iCs w:val="0"/>
        <w:spacing w:val="-2"/>
        <w:w w:val="99"/>
        <w:sz w:val="21"/>
        <w:szCs w:val="21"/>
      </w:rPr>
    </w:lvl>
    <w:lvl w:ilvl="4">
      <w:start w:val="0"/>
      <w:numFmt w:val="bullet"/>
      <w:lvlText w:val="•"/>
      <w:lvlJc w:val="left"/>
      <w:pPr>
        <w:ind w:left="4126" w:hanging="946"/>
      </w:pPr>
      <w:rPr>
        <w:rFonts w:hint="default"/>
      </w:rPr>
    </w:lvl>
    <w:lvl w:ilvl="5">
      <w:start w:val="0"/>
      <w:numFmt w:val="bullet"/>
      <w:lvlText w:val="•"/>
      <w:lvlJc w:val="left"/>
      <w:pPr>
        <w:ind w:left="5103" w:hanging="946"/>
      </w:pPr>
      <w:rPr>
        <w:rFonts w:hint="default"/>
      </w:rPr>
    </w:lvl>
    <w:lvl w:ilvl="6">
      <w:start w:val="0"/>
      <w:numFmt w:val="bullet"/>
      <w:lvlText w:val="•"/>
      <w:lvlJc w:val="left"/>
      <w:pPr>
        <w:ind w:left="6079" w:hanging="946"/>
      </w:pPr>
      <w:rPr>
        <w:rFonts w:hint="default"/>
      </w:rPr>
    </w:lvl>
    <w:lvl w:ilvl="7">
      <w:start w:val="0"/>
      <w:numFmt w:val="bullet"/>
      <w:lvlText w:val="•"/>
      <w:lvlJc w:val="left"/>
      <w:pPr>
        <w:ind w:left="7056" w:hanging="946"/>
      </w:pPr>
      <w:rPr>
        <w:rFonts w:hint="default"/>
      </w:rPr>
    </w:lvl>
    <w:lvl w:ilvl="8">
      <w:start w:val="0"/>
      <w:numFmt w:val="bullet"/>
      <w:lvlText w:val="•"/>
      <w:lvlJc w:val="left"/>
      <w:pPr>
        <w:ind w:left="8032" w:hanging="946"/>
      </w:pPr>
      <w:rPr>
        <w:rFonts w:hint="default"/>
      </w:rPr>
    </w:lvl>
  </w:abstractNum>
  <w:abstractNum w:abstractNumId="8">
    <w:multiLevelType w:val="hybridMultilevel"/>
    <w:lvl w:ilvl="0">
      <w:start w:val="6"/>
      <w:numFmt w:val="decimal"/>
      <w:lvlText w:val="%1"/>
      <w:lvlJc w:val="left"/>
      <w:pPr>
        <w:ind w:left="218" w:hanging="946"/>
        <w:jc w:val="left"/>
      </w:pPr>
      <w:rPr>
        <w:rFonts w:hint="default"/>
      </w:rPr>
    </w:lvl>
    <w:lvl w:ilvl="1">
      <w:start w:val="3"/>
      <w:numFmt w:val="decimal"/>
      <w:lvlText w:val="%1.%2"/>
      <w:lvlJc w:val="left"/>
      <w:pPr>
        <w:ind w:left="218" w:hanging="946"/>
        <w:jc w:val="left"/>
      </w:pPr>
      <w:rPr>
        <w:rFonts w:hint="default"/>
      </w:rPr>
    </w:lvl>
    <w:lvl w:ilvl="2">
      <w:start w:val="3"/>
      <w:numFmt w:val="decimal"/>
      <w:lvlText w:val="%1.%2.%3"/>
      <w:lvlJc w:val="left"/>
      <w:pPr>
        <w:ind w:left="218" w:hanging="946"/>
        <w:jc w:val="left"/>
      </w:pPr>
      <w:rPr>
        <w:rFonts w:hint="default"/>
      </w:rPr>
    </w:lvl>
    <w:lvl w:ilvl="3">
      <w:start w:val="1"/>
      <w:numFmt w:val="decimal"/>
      <w:lvlText w:val="%1.%2.%3.%4"/>
      <w:lvlJc w:val="left"/>
      <w:pPr>
        <w:ind w:left="218" w:hanging="946"/>
        <w:jc w:val="left"/>
      </w:pPr>
      <w:rPr>
        <w:rFonts w:hint="default" w:ascii="黑体" w:hAnsi="黑体" w:eastAsia="黑体" w:cs="黑体"/>
        <w:b w:val="0"/>
        <w:bCs w:val="0"/>
        <w:i w:val="0"/>
        <w:iCs w:val="0"/>
        <w:spacing w:val="-2"/>
        <w:w w:val="99"/>
        <w:sz w:val="21"/>
        <w:szCs w:val="21"/>
      </w:rPr>
    </w:lvl>
    <w:lvl w:ilvl="4">
      <w:start w:val="1"/>
      <w:numFmt w:val="lowerLetter"/>
      <w:lvlText w:val="%5)"/>
      <w:lvlJc w:val="left"/>
      <w:pPr>
        <w:ind w:left="1068" w:hanging="425"/>
        <w:jc w:val="left"/>
      </w:pPr>
      <w:rPr>
        <w:rFonts w:hint="default" w:ascii="宋体" w:hAnsi="宋体" w:eastAsia="宋体" w:cs="宋体"/>
        <w:b w:val="0"/>
        <w:bCs w:val="0"/>
        <w:i w:val="0"/>
        <w:iCs w:val="0"/>
        <w:spacing w:val="0"/>
        <w:w w:val="99"/>
        <w:sz w:val="21"/>
        <w:szCs w:val="21"/>
      </w:rPr>
    </w:lvl>
    <w:lvl w:ilvl="5">
      <w:start w:val="0"/>
      <w:numFmt w:val="bullet"/>
      <w:lvlText w:val="•"/>
      <w:lvlJc w:val="left"/>
      <w:pPr>
        <w:ind w:left="5027" w:hanging="425"/>
      </w:pPr>
      <w:rPr>
        <w:rFonts w:hint="default"/>
      </w:rPr>
    </w:lvl>
    <w:lvl w:ilvl="6">
      <w:start w:val="0"/>
      <w:numFmt w:val="bullet"/>
      <w:lvlText w:val="•"/>
      <w:lvlJc w:val="left"/>
      <w:pPr>
        <w:ind w:left="6018" w:hanging="425"/>
      </w:pPr>
      <w:rPr>
        <w:rFonts w:hint="default"/>
      </w:rPr>
    </w:lvl>
    <w:lvl w:ilvl="7">
      <w:start w:val="0"/>
      <w:numFmt w:val="bullet"/>
      <w:lvlText w:val="•"/>
      <w:lvlJc w:val="left"/>
      <w:pPr>
        <w:ind w:left="7010" w:hanging="425"/>
      </w:pPr>
      <w:rPr>
        <w:rFonts w:hint="default"/>
      </w:rPr>
    </w:lvl>
    <w:lvl w:ilvl="8">
      <w:start w:val="0"/>
      <w:numFmt w:val="bullet"/>
      <w:lvlText w:val="•"/>
      <w:lvlJc w:val="left"/>
      <w:pPr>
        <w:ind w:left="8002" w:hanging="425"/>
      </w:pPr>
      <w:rPr>
        <w:rFonts w:hint="default"/>
      </w:rPr>
    </w:lvl>
  </w:abstractNum>
  <w:abstractNum w:abstractNumId="7">
    <w:multiLevelType w:val="hybridMultilevel"/>
    <w:lvl w:ilvl="0">
      <w:start w:val="6"/>
      <w:numFmt w:val="decimal"/>
      <w:lvlText w:val="%1"/>
      <w:lvlJc w:val="left"/>
      <w:pPr>
        <w:ind w:left="218" w:hanging="946"/>
        <w:jc w:val="left"/>
      </w:pPr>
      <w:rPr>
        <w:rFonts w:hint="default"/>
      </w:rPr>
    </w:lvl>
    <w:lvl w:ilvl="1">
      <w:start w:val="3"/>
      <w:numFmt w:val="decimal"/>
      <w:lvlText w:val="%1.%2"/>
      <w:lvlJc w:val="left"/>
      <w:pPr>
        <w:ind w:left="218" w:hanging="946"/>
        <w:jc w:val="left"/>
      </w:pPr>
      <w:rPr>
        <w:rFonts w:hint="default"/>
      </w:rPr>
    </w:lvl>
    <w:lvl w:ilvl="2">
      <w:start w:val="2"/>
      <w:numFmt w:val="decimal"/>
      <w:lvlText w:val="%1.%2.%3"/>
      <w:lvlJc w:val="left"/>
      <w:pPr>
        <w:ind w:left="218" w:hanging="946"/>
        <w:jc w:val="left"/>
      </w:pPr>
      <w:rPr>
        <w:rFonts w:hint="default"/>
      </w:rPr>
    </w:lvl>
    <w:lvl w:ilvl="3">
      <w:start w:val="1"/>
      <w:numFmt w:val="decimal"/>
      <w:lvlText w:val="%1.%2.%3.%4"/>
      <w:lvlJc w:val="left"/>
      <w:pPr>
        <w:ind w:left="218" w:hanging="946"/>
        <w:jc w:val="left"/>
      </w:pPr>
      <w:rPr>
        <w:rFonts w:hint="default" w:ascii="黑体" w:hAnsi="黑体" w:eastAsia="黑体" w:cs="黑体"/>
        <w:b w:val="0"/>
        <w:bCs w:val="0"/>
        <w:i w:val="0"/>
        <w:iCs w:val="0"/>
        <w:spacing w:val="-2"/>
        <w:w w:val="99"/>
        <w:sz w:val="21"/>
        <w:szCs w:val="21"/>
      </w:rPr>
    </w:lvl>
    <w:lvl w:ilvl="4">
      <w:start w:val="0"/>
      <w:numFmt w:val="bullet"/>
      <w:lvlText w:val="•"/>
      <w:lvlJc w:val="left"/>
      <w:pPr>
        <w:ind w:left="4126" w:hanging="946"/>
      </w:pPr>
      <w:rPr>
        <w:rFonts w:hint="default"/>
      </w:rPr>
    </w:lvl>
    <w:lvl w:ilvl="5">
      <w:start w:val="0"/>
      <w:numFmt w:val="bullet"/>
      <w:lvlText w:val="•"/>
      <w:lvlJc w:val="left"/>
      <w:pPr>
        <w:ind w:left="5103" w:hanging="946"/>
      </w:pPr>
      <w:rPr>
        <w:rFonts w:hint="default"/>
      </w:rPr>
    </w:lvl>
    <w:lvl w:ilvl="6">
      <w:start w:val="0"/>
      <w:numFmt w:val="bullet"/>
      <w:lvlText w:val="•"/>
      <w:lvlJc w:val="left"/>
      <w:pPr>
        <w:ind w:left="6079" w:hanging="946"/>
      </w:pPr>
      <w:rPr>
        <w:rFonts w:hint="default"/>
      </w:rPr>
    </w:lvl>
    <w:lvl w:ilvl="7">
      <w:start w:val="0"/>
      <w:numFmt w:val="bullet"/>
      <w:lvlText w:val="•"/>
      <w:lvlJc w:val="left"/>
      <w:pPr>
        <w:ind w:left="7056" w:hanging="946"/>
      </w:pPr>
      <w:rPr>
        <w:rFonts w:hint="default"/>
      </w:rPr>
    </w:lvl>
    <w:lvl w:ilvl="8">
      <w:start w:val="0"/>
      <w:numFmt w:val="bullet"/>
      <w:lvlText w:val="•"/>
      <w:lvlJc w:val="left"/>
      <w:pPr>
        <w:ind w:left="8032" w:hanging="946"/>
      </w:pPr>
      <w:rPr>
        <w:rFonts w:hint="default"/>
      </w:rPr>
    </w:lvl>
  </w:abstractNum>
  <w:abstractNum w:abstractNumId="6">
    <w:multiLevelType w:val="hybridMultilevel"/>
    <w:lvl w:ilvl="0">
      <w:start w:val="6"/>
      <w:numFmt w:val="decimal"/>
      <w:lvlText w:val="%1"/>
      <w:lvlJc w:val="left"/>
      <w:pPr>
        <w:ind w:left="1164" w:hanging="946"/>
        <w:jc w:val="left"/>
      </w:pPr>
      <w:rPr>
        <w:rFonts w:hint="default"/>
      </w:rPr>
    </w:lvl>
    <w:lvl w:ilvl="1">
      <w:start w:val="2"/>
      <w:numFmt w:val="decimal"/>
      <w:lvlText w:val="%1.%2"/>
      <w:lvlJc w:val="left"/>
      <w:pPr>
        <w:ind w:left="1164" w:hanging="946"/>
        <w:jc w:val="left"/>
      </w:pPr>
      <w:rPr>
        <w:rFonts w:hint="default"/>
      </w:rPr>
    </w:lvl>
    <w:lvl w:ilvl="2">
      <w:start w:val="2"/>
      <w:numFmt w:val="decimal"/>
      <w:lvlText w:val="%1.%2.%3"/>
      <w:lvlJc w:val="left"/>
      <w:pPr>
        <w:ind w:left="1164" w:hanging="946"/>
        <w:jc w:val="left"/>
      </w:pPr>
      <w:rPr>
        <w:rFonts w:hint="default"/>
      </w:rPr>
    </w:lvl>
    <w:lvl w:ilvl="3">
      <w:start w:val="1"/>
      <w:numFmt w:val="decimal"/>
      <w:lvlText w:val="%1.%2.%3.%4"/>
      <w:lvlJc w:val="left"/>
      <w:pPr>
        <w:ind w:left="1164" w:hanging="946"/>
        <w:jc w:val="left"/>
      </w:pPr>
      <w:rPr>
        <w:rFonts w:hint="default" w:ascii="黑体" w:hAnsi="黑体" w:eastAsia="黑体" w:cs="黑体"/>
        <w:b w:val="0"/>
        <w:bCs w:val="0"/>
        <w:i w:val="0"/>
        <w:iCs w:val="0"/>
        <w:spacing w:val="-2"/>
        <w:w w:val="99"/>
        <w:sz w:val="21"/>
        <w:szCs w:val="21"/>
      </w:rPr>
    </w:lvl>
    <w:lvl w:ilvl="4">
      <w:start w:val="0"/>
      <w:numFmt w:val="bullet"/>
      <w:lvlText w:val="•"/>
      <w:lvlJc w:val="left"/>
      <w:pPr>
        <w:ind w:left="4690" w:hanging="946"/>
      </w:pPr>
      <w:rPr>
        <w:rFonts w:hint="default"/>
      </w:rPr>
    </w:lvl>
    <w:lvl w:ilvl="5">
      <w:start w:val="0"/>
      <w:numFmt w:val="bullet"/>
      <w:lvlText w:val="•"/>
      <w:lvlJc w:val="left"/>
      <w:pPr>
        <w:ind w:left="5573" w:hanging="946"/>
      </w:pPr>
      <w:rPr>
        <w:rFonts w:hint="default"/>
      </w:rPr>
    </w:lvl>
    <w:lvl w:ilvl="6">
      <w:start w:val="0"/>
      <w:numFmt w:val="bullet"/>
      <w:lvlText w:val="•"/>
      <w:lvlJc w:val="left"/>
      <w:pPr>
        <w:ind w:left="6455" w:hanging="946"/>
      </w:pPr>
      <w:rPr>
        <w:rFonts w:hint="default"/>
      </w:rPr>
    </w:lvl>
    <w:lvl w:ilvl="7">
      <w:start w:val="0"/>
      <w:numFmt w:val="bullet"/>
      <w:lvlText w:val="•"/>
      <w:lvlJc w:val="left"/>
      <w:pPr>
        <w:ind w:left="7338" w:hanging="946"/>
      </w:pPr>
      <w:rPr>
        <w:rFonts w:hint="default"/>
      </w:rPr>
    </w:lvl>
    <w:lvl w:ilvl="8">
      <w:start w:val="0"/>
      <w:numFmt w:val="bullet"/>
      <w:lvlText w:val="•"/>
      <w:lvlJc w:val="left"/>
      <w:pPr>
        <w:ind w:left="8220" w:hanging="946"/>
      </w:pPr>
      <w:rPr>
        <w:rFonts w:hint="default"/>
      </w:rPr>
    </w:lvl>
  </w:abstractNum>
  <w:abstractNum w:abstractNumId="5">
    <w:multiLevelType w:val="hybridMultilevel"/>
    <w:lvl w:ilvl="0">
      <w:start w:val="5"/>
      <w:numFmt w:val="decimal"/>
      <w:lvlText w:val="%1"/>
      <w:lvlJc w:val="left"/>
      <w:pPr>
        <w:ind w:left="744" w:hanging="526"/>
        <w:jc w:val="left"/>
      </w:pPr>
      <w:rPr>
        <w:rFonts w:hint="default"/>
      </w:rPr>
    </w:lvl>
    <w:lvl w:ilvl="1">
      <w:start w:val="2"/>
      <w:numFmt w:val="decimal"/>
      <w:lvlText w:val="%1.%2"/>
      <w:lvlJc w:val="left"/>
      <w:pPr>
        <w:ind w:left="744" w:hanging="526"/>
        <w:jc w:val="left"/>
      </w:pPr>
      <w:rPr>
        <w:rFonts w:hint="default" w:ascii="黑体" w:hAnsi="黑体" w:eastAsia="黑体" w:cs="黑体"/>
        <w:b w:val="0"/>
        <w:bCs w:val="0"/>
        <w:i w:val="0"/>
        <w:iCs w:val="0"/>
        <w:spacing w:val="0"/>
        <w:w w:val="99"/>
        <w:sz w:val="21"/>
        <w:szCs w:val="21"/>
      </w:rPr>
    </w:lvl>
    <w:lvl w:ilvl="2">
      <w:start w:val="1"/>
      <w:numFmt w:val="decimal"/>
      <w:lvlText w:val="%1.%2.%3"/>
      <w:lvlJc w:val="left"/>
      <w:pPr>
        <w:ind w:left="952" w:hanging="735"/>
        <w:jc w:val="left"/>
      </w:pPr>
      <w:rPr>
        <w:rFonts w:hint="default" w:ascii="黑体" w:hAnsi="黑体" w:eastAsia="黑体" w:cs="黑体"/>
        <w:b w:val="0"/>
        <w:bCs w:val="0"/>
        <w:i w:val="0"/>
        <w:iCs w:val="0"/>
        <w:spacing w:val="-2"/>
        <w:w w:val="99"/>
        <w:sz w:val="21"/>
        <w:szCs w:val="21"/>
      </w:rPr>
    </w:lvl>
    <w:lvl w:ilvl="3">
      <w:start w:val="1"/>
      <w:numFmt w:val="decimal"/>
      <w:lvlText w:val="%1.%2.%3.%4"/>
      <w:lvlJc w:val="left"/>
      <w:pPr>
        <w:ind w:left="1164" w:hanging="946"/>
        <w:jc w:val="left"/>
      </w:pPr>
      <w:rPr>
        <w:rFonts w:hint="default" w:ascii="黑体" w:hAnsi="黑体" w:eastAsia="黑体" w:cs="黑体"/>
        <w:b w:val="0"/>
        <w:bCs w:val="0"/>
        <w:i w:val="0"/>
        <w:iCs w:val="0"/>
        <w:spacing w:val="-2"/>
        <w:w w:val="99"/>
        <w:sz w:val="21"/>
        <w:szCs w:val="21"/>
      </w:rPr>
    </w:lvl>
    <w:lvl w:ilvl="4">
      <w:start w:val="1"/>
      <w:numFmt w:val="lowerLetter"/>
      <w:lvlText w:val="%5)"/>
      <w:lvlJc w:val="left"/>
      <w:pPr>
        <w:ind w:left="1068" w:hanging="425"/>
        <w:jc w:val="left"/>
      </w:pPr>
      <w:rPr>
        <w:rFonts w:hint="default" w:ascii="宋体" w:hAnsi="宋体" w:eastAsia="宋体" w:cs="宋体"/>
        <w:b w:val="0"/>
        <w:bCs w:val="0"/>
        <w:i w:val="0"/>
        <w:iCs w:val="0"/>
        <w:spacing w:val="0"/>
        <w:w w:val="99"/>
        <w:sz w:val="21"/>
        <w:szCs w:val="21"/>
      </w:rPr>
    </w:lvl>
    <w:lvl w:ilvl="5">
      <w:start w:val="0"/>
      <w:numFmt w:val="bullet"/>
      <w:lvlText w:val="•"/>
      <w:lvlJc w:val="left"/>
      <w:pPr>
        <w:ind w:left="2631" w:hanging="425"/>
      </w:pPr>
      <w:rPr>
        <w:rFonts w:hint="default"/>
      </w:rPr>
    </w:lvl>
    <w:lvl w:ilvl="6">
      <w:start w:val="0"/>
      <w:numFmt w:val="bullet"/>
      <w:lvlText w:val="•"/>
      <w:lvlJc w:val="left"/>
      <w:pPr>
        <w:ind w:left="4102" w:hanging="425"/>
      </w:pPr>
      <w:rPr>
        <w:rFonts w:hint="default"/>
      </w:rPr>
    </w:lvl>
    <w:lvl w:ilvl="7">
      <w:start w:val="0"/>
      <w:numFmt w:val="bullet"/>
      <w:lvlText w:val="•"/>
      <w:lvlJc w:val="left"/>
      <w:pPr>
        <w:ind w:left="5573" w:hanging="425"/>
      </w:pPr>
      <w:rPr>
        <w:rFonts w:hint="default"/>
      </w:rPr>
    </w:lvl>
    <w:lvl w:ilvl="8">
      <w:start w:val="0"/>
      <w:numFmt w:val="bullet"/>
      <w:lvlText w:val="•"/>
      <w:lvlJc w:val="left"/>
      <w:pPr>
        <w:ind w:left="7044" w:hanging="425"/>
      </w:pPr>
      <w:rPr>
        <w:rFonts w:hint="default"/>
      </w:rPr>
    </w:lvl>
  </w:abstractNum>
  <w:abstractNum w:abstractNumId="4">
    <w:multiLevelType w:val="hybridMultilevel"/>
    <w:lvl w:ilvl="0">
      <w:start w:val="5"/>
      <w:numFmt w:val="decimal"/>
      <w:lvlText w:val="%1"/>
      <w:lvlJc w:val="left"/>
      <w:pPr>
        <w:ind w:left="218" w:hanging="946"/>
        <w:jc w:val="left"/>
      </w:pPr>
      <w:rPr>
        <w:rFonts w:hint="default"/>
      </w:rPr>
    </w:lvl>
    <w:lvl w:ilvl="1">
      <w:start w:val="1"/>
      <w:numFmt w:val="decimal"/>
      <w:lvlText w:val="%1.%2"/>
      <w:lvlJc w:val="left"/>
      <w:pPr>
        <w:ind w:left="218" w:hanging="946"/>
        <w:jc w:val="left"/>
      </w:pPr>
      <w:rPr>
        <w:rFonts w:hint="default"/>
      </w:rPr>
    </w:lvl>
    <w:lvl w:ilvl="2">
      <w:start w:val="7"/>
      <w:numFmt w:val="decimal"/>
      <w:lvlText w:val="%1.%2.%3"/>
      <w:lvlJc w:val="left"/>
      <w:pPr>
        <w:ind w:left="218" w:hanging="946"/>
        <w:jc w:val="left"/>
      </w:pPr>
      <w:rPr>
        <w:rFonts w:hint="default"/>
      </w:rPr>
    </w:lvl>
    <w:lvl w:ilvl="3">
      <w:start w:val="1"/>
      <w:numFmt w:val="decimal"/>
      <w:lvlText w:val="%1.%2.%3.%4"/>
      <w:lvlJc w:val="left"/>
      <w:pPr>
        <w:ind w:left="218" w:hanging="946"/>
        <w:jc w:val="left"/>
      </w:pPr>
      <w:rPr>
        <w:rFonts w:hint="default" w:ascii="黑体" w:hAnsi="黑体" w:eastAsia="黑体" w:cs="黑体"/>
        <w:b w:val="0"/>
        <w:bCs w:val="0"/>
        <w:i w:val="0"/>
        <w:iCs w:val="0"/>
        <w:spacing w:val="-2"/>
        <w:w w:val="99"/>
        <w:sz w:val="21"/>
        <w:szCs w:val="21"/>
      </w:rPr>
    </w:lvl>
    <w:lvl w:ilvl="4">
      <w:start w:val="0"/>
      <w:numFmt w:val="bullet"/>
      <w:lvlText w:val="•"/>
      <w:lvlJc w:val="left"/>
      <w:pPr>
        <w:ind w:left="4126" w:hanging="946"/>
      </w:pPr>
      <w:rPr>
        <w:rFonts w:hint="default"/>
      </w:rPr>
    </w:lvl>
    <w:lvl w:ilvl="5">
      <w:start w:val="0"/>
      <w:numFmt w:val="bullet"/>
      <w:lvlText w:val="•"/>
      <w:lvlJc w:val="left"/>
      <w:pPr>
        <w:ind w:left="5103" w:hanging="946"/>
      </w:pPr>
      <w:rPr>
        <w:rFonts w:hint="default"/>
      </w:rPr>
    </w:lvl>
    <w:lvl w:ilvl="6">
      <w:start w:val="0"/>
      <w:numFmt w:val="bullet"/>
      <w:lvlText w:val="•"/>
      <w:lvlJc w:val="left"/>
      <w:pPr>
        <w:ind w:left="6079" w:hanging="946"/>
      </w:pPr>
      <w:rPr>
        <w:rFonts w:hint="default"/>
      </w:rPr>
    </w:lvl>
    <w:lvl w:ilvl="7">
      <w:start w:val="0"/>
      <w:numFmt w:val="bullet"/>
      <w:lvlText w:val="•"/>
      <w:lvlJc w:val="left"/>
      <w:pPr>
        <w:ind w:left="7056" w:hanging="946"/>
      </w:pPr>
      <w:rPr>
        <w:rFonts w:hint="default"/>
      </w:rPr>
    </w:lvl>
    <w:lvl w:ilvl="8">
      <w:start w:val="0"/>
      <w:numFmt w:val="bullet"/>
      <w:lvlText w:val="•"/>
      <w:lvlJc w:val="left"/>
      <w:pPr>
        <w:ind w:left="8032" w:hanging="946"/>
      </w:pPr>
      <w:rPr>
        <w:rFonts w:hint="default"/>
      </w:rPr>
    </w:lvl>
  </w:abstractNum>
  <w:abstractNum w:abstractNumId="3">
    <w:multiLevelType w:val="hybridMultilevel"/>
    <w:lvl w:ilvl="0">
      <w:start w:val="5"/>
      <w:numFmt w:val="decimal"/>
      <w:lvlText w:val="%1"/>
      <w:lvlJc w:val="left"/>
      <w:pPr>
        <w:ind w:left="1164" w:hanging="946"/>
        <w:jc w:val="left"/>
      </w:pPr>
      <w:rPr>
        <w:rFonts w:hint="default"/>
      </w:rPr>
    </w:lvl>
    <w:lvl w:ilvl="1">
      <w:start w:val="1"/>
      <w:numFmt w:val="decimal"/>
      <w:lvlText w:val="%1.%2"/>
      <w:lvlJc w:val="left"/>
      <w:pPr>
        <w:ind w:left="1164" w:hanging="946"/>
        <w:jc w:val="left"/>
      </w:pPr>
      <w:rPr>
        <w:rFonts w:hint="default"/>
      </w:rPr>
    </w:lvl>
    <w:lvl w:ilvl="2">
      <w:start w:val="6"/>
      <w:numFmt w:val="decimal"/>
      <w:lvlText w:val="%1.%2.%3"/>
      <w:lvlJc w:val="left"/>
      <w:pPr>
        <w:ind w:left="1164" w:hanging="946"/>
        <w:jc w:val="left"/>
      </w:pPr>
      <w:rPr>
        <w:rFonts w:hint="default"/>
      </w:rPr>
    </w:lvl>
    <w:lvl w:ilvl="3">
      <w:start w:val="1"/>
      <w:numFmt w:val="decimal"/>
      <w:lvlText w:val="%1.%2.%3.%4"/>
      <w:lvlJc w:val="left"/>
      <w:pPr>
        <w:ind w:left="1164" w:hanging="946"/>
        <w:jc w:val="left"/>
      </w:pPr>
      <w:rPr>
        <w:rFonts w:hint="default" w:ascii="黑体" w:hAnsi="黑体" w:eastAsia="黑体" w:cs="黑体"/>
        <w:b w:val="0"/>
        <w:bCs w:val="0"/>
        <w:i w:val="0"/>
        <w:iCs w:val="0"/>
        <w:spacing w:val="-2"/>
        <w:w w:val="99"/>
        <w:sz w:val="21"/>
        <w:szCs w:val="21"/>
      </w:rPr>
    </w:lvl>
    <w:lvl w:ilvl="4">
      <w:start w:val="0"/>
      <w:numFmt w:val="bullet"/>
      <w:lvlText w:val="•"/>
      <w:lvlJc w:val="left"/>
      <w:pPr>
        <w:ind w:left="4690" w:hanging="946"/>
      </w:pPr>
      <w:rPr>
        <w:rFonts w:hint="default"/>
      </w:rPr>
    </w:lvl>
    <w:lvl w:ilvl="5">
      <w:start w:val="0"/>
      <w:numFmt w:val="bullet"/>
      <w:lvlText w:val="•"/>
      <w:lvlJc w:val="left"/>
      <w:pPr>
        <w:ind w:left="5573" w:hanging="946"/>
      </w:pPr>
      <w:rPr>
        <w:rFonts w:hint="default"/>
      </w:rPr>
    </w:lvl>
    <w:lvl w:ilvl="6">
      <w:start w:val="0"/>
      <w:numFmt w:val="bullet"/>
      <w:lvlText w:val="•"/>
      <w:lvlJc w:val="left"/>
      <w:pPr>
        <w:ind w:left="6455" w:hanging="946"/>
      </w:pPr>
      <w:rPr>
        <w:rFonts w:hint="default"/>
      </w:rPr>
    </w:lvl>
    <w:lvl w:ilvl="7">
      <w:start w:val="0"/>
      <w:numFmt w:val="bullet"/>
      <w:lvlText w:val="•"/>
      <w:lvlJc w:val="left"/>
      <w:pPr>
        <w:ind w:left="7338" w:hanging="946"/>
      </w:pPr>
      <w:rPr>
        <w:rFonts w:hint="default"/>
      </w:rPr>
    </w:lvl>
    <w:lvl w:ilvl="8">
      <w:start w:val="0"/>
      <w:numFmt w:val="bullet"/>
      <w:lvlText w:val="•"/>
      <w:lvlJc w:val="left"/>
      <w:pPr>
        <w:ind w:left="8220" w:hanging="946"/>
      </w:pPr>
      <w:rPr>
        <w:rFonts w:hint="default"/>
      </w:rPr>
    </w:lvl>
  </w:abstractNum>
  <w:abstractNum w:abstractNumId="2">
    <w:multiLevelType w:val="hybridMultilevel"/>
    <w:lvl w:ilvl="0">
      <w:start w:val="5"/>
      <w:numFmt w:val="decimal"/>
      <w:lvlText w:val="%1"/>
      <w:lvlJc w:val="left"/>
      <w:pPr>
        <w:ind w:left="218" w:hanging="946"/>
        <w:jc w:val="left"/>
      </w:pPr>
      <w:rPr>
        <w:rFonts w:hint="default"/>
      </w:rPr>
    </w:lvl>
    <w:lvl w:ilvl="1">
      <w:start w:val="1"/>
      <w:numFmt w:val="decimal"/>
      <w:lvlText w:val="%1.%2"/>
      <w:lvlJc w:val="left"/>
      <w:pPr>
        <w:ind w:left="218" w:hanging="946"/>
        <w:jc w:val="left"/>
      </w:pPr>
      <w:rPr>
        <w:rFonts w:hint="default"/>
      </w:rPr>
    </w:lvl>
    <w:lvl w:ilvl="2">
      <w:start w:val="2"/>
      <w:numFmt w:val="decimal"/>
      <w:lvlText w:val="%1.%2.%3"/>
      <w:lvlJc w:val="left"/>
      <w:pPr>
        <w:ind w:left="218" w:hanging="946"/>
        <w:jc w:val="left"/>
      </w:pPr>
      <w:rPr>
        <w:rFonts w:hint="default"/>
      </w:rPr>
    </w:lvl>
    <w:lvl w:ilvl="3">
      <w:start w:val="1"/>
      <w:numFmt w:val="decimal"/>
      <w:lvlText w:val="%1.%2.%3.%4"/>
      <w:lvlJc w:val="left"/>
      <w:pPr>
        <w:ind w:left="218" w:hanging="946"/>
        <w:jc w:val="left"/>
      </w:pPr>
      <w:rPr>
        <w:rFonts w:hint="default" w:ascii="黑体" w:hAnsi="黑体" w:eastAsia="黑体" w:cs="黑体"/>
        <w:b w:val="0"/>
        <w:bCs w:val="0"/>
        <w:i w:val="0"/>
        <w:iCs w:val="0"/>
        <w:spacing w:val="-2"/>
        <w:w w:val="99"/>
        <w:sz w:val="21"/>
        <w:szCs w:val="21"/>
      </w:rPr>
    </w:lvl>
    <w:lvl w:ilvl="4">
      <w:start w:val="1"/>
      <w:numFmt w:val="lowerLetter"/>
      <w:lvlText w:val="%5)"/>
      <w:lvlJc w:val="left"/>
      <w:pPr>
        <w:ind w:left="1068" w:hanging="425"/>
        <w:jc w:val="left"/>
      </w:pPr>
      <w:rPr>
        <w:rFonts w:hint="default" w:ascii="宋体" w:hAnsi="宋体" w:eastAsia="宋体" w:cs="宋体"/>
        <w:b w:val="0"/>
        <w:bCs w:val="0"/>
        <w:i w:val="0"/>
        <w:iCs w:val="0"/>
        <w:spacing w:val="0"/>
        <w:w w:val="99"/>
        <w:sz w:val="21"/>
        <w:szCs w:val="21"/>
      </w:rPr>
    </w:lvl>
    <w:lvl w:ilvl="5">
      <w:start w:val="0"/>
      <w:numFmt w:val="bullet"/>
      <w:lvlText w:val="•"/>
      <w:lvlJc w:val="left"/>
      <w:pPr>
        <w:ind w:left="5027" w:hanging="425"/>
      </w:pPr>
      <w:rPr>
        <w:rFonts w:hint="default"/>
      </w:rPr>
    </w:lvl>
    <w:lvl w:ilvl="6">
      <w:start w:val="0"/>
      <w:numFmt w:val="bullet"/>
      <w:lvlText w:val="•"/>
      <w:lvlJc w:val="left"/>
      <w:pPr>
        <w:ind w:left="6018" w:hanging="425"/>
      </w:pPr>
      <w:rPr>
        <w:rFonts w:hint="default"/>
      </w:rPr>
    </w:lvl>
    <w:lvl w:ilvl="7">
      <w:start w:val="0"/>
      <w:numFmt w:val="bullet"/>
      <w:lvlText w:val="•"/>
      <w:lvlJc w:val="left"/>
      <w:pPr>
        <w:ind w:left="7010" w:hanging="425"/>
      </w:pPr>
      <w:rPr>
        <w:rFonts w:hint="default"/>
      </w:rPr>
    </w:lvl>
    <w:lvl w:ilvl="8">
      <w:start w:val="0"/>
      <w:numFmt w:val="bullet"/>
      <w:lvlText w:val="•"/>
      <w:lvlJc w:val="left"/>
      <w:pPr>
        <w:ind w:left="8002" w:hanging="425"/>
      </w:pPr>
      <w:rPr>
        <w:rFonts w:hint="default"/>
      </w:rPr>
    </w:lvl>
  </w:abstractNum>
  <w:abstractNum w:abstractNumId="1">
    <w:multiLevelType w:val="hybridMultilevel"/>
    <w:lvl w:ilvl="0">
      <w:start w:val="1"/>
      <w:numFmt w:val="decimal"/>
      <w:lvlText w:val="%1"/>
      <w:lvlJc w:val="left"/>
      <w:pPr>
        <w:ind w:left="532" w:hanging="315"/>
        <w:jc w:val="left"/>
      </w:pPr>
      <w:rPr>
        <w:rFonts w:hint="default" w:ascii="黑体" w:hAnsi="黑体" w:eastAsia="黑体" w:cs="黑体"/>
        <w:b w:val="0"/>
        <w:bCs w:val="0"/>
        <w:i w:val="0"/>
        <w:iCs w:val="0"/>
        <w:w w:val="99"/>
        <w:sz w:val="21"/>
        <w:szCs w:val="21"/>
      </w:rPr>
    </w:lvl>
    <w:lvl w:ilvl="1">
      <w:start w:val="1"/>
      <w:numFmt w:val="decimal"/>
      <w:lvlText w:val="%1.%2"/>
      <w:lvlJc w:val="left"/>
      <w:pPr>
        <w:ind w:left="218" w:hanging="526"/>
        <w:jc w:val="left"/>
      </w:pPr>
      <w:rPr>
        <w:rFonts w:hint="default" w:ascii="黑体" w:hAnsi="黑体" w:eastAsia="黑体" w:cs="黑体"/>
        <w:b w:val="0"/>
        <w:bCs w:val="0"/>
        <w:i w:val="0"/>
        <w:iCs w:val="0"/>
        <w:spacing w:val="0"/>
        <w:w w:val="99"/>
        <w:sz w:val="21"/>
        <w:szCs w:val="21"/>
      </w:rPr>
    </w:lvl>
    <w:lvl w:ilvl="2">
      <w:start w:val="1"/>
      <w:numFmt w:val="decimal"/>
      <w:lvlText w:val="%1.%2.%3"/>
      <w:lvlJc w:val="left"/>
      <w:pPr>
        <w:ind w:left="952" w:hanging="735"/>
        <w:jc w:val="left"/>
      </w:pPr>
      <w:rPr>
        <w:rFonts w:hint="default" w:ascii="黑体" w:hAnsi="黑体" w:eastAsia="黑体" w:cs="黑体"/>
        <w:b w:val="0"/>
        <w:bCs w:val="0"/>
        <w:i w:val="0"/>
        <w:iCs w:val="0"/>
        <w:spacing w:val="-2"/>
        <w:w w:val="99"/>
        <w:sz w:val="21"/>
        <w:szCs w:val="21"/>
      </w:rPr>
    </w:lvl>
    <w:lvl w:ilvl="3">
      <w:start w:val="1"/>
      <w:numFmt w:val="lowerLetter"/>
      <w:lvlText w:val="%4)"/>
      <w:lvlJc w:val="left"/>
      <w:pPr>
        <w:ind w:left="1068" w:hanging="425"/>
        <w:jc w:val="left"/>
      </w:pPr>
      <w:rPr>
        <w:rFonts w:hint="default" w:ascii="宋体" w:hAnsi="宋体" w:eastAsia="宋体" w:cs="宋体"/>
        <w:b w:val="0"/>
        <w:bCs w:val="0"/>
        <w:i w:val="0"/>
        <w:iCs w:val="0"/>
        <w:spacing w:val="0"/>
        <w:w w:val="99"/>
        <w:sz w:val="21"/>
        <w:szCs w:val="21"/>
      </w:rPr>
    </w:lvl>
    <w:lvl w:ilvl="4">
      <w:start w:val="0"/>
      <w:numFmt w:val="bullet"/>
      <w:lvlText w:val="•"/>
      <w:lvlJc w:val="left"/>
      <w:pPr>
        <w:ind w:left="1060" w:hanging="425"/>
      </w:pPr>
      <w:rPr>
        <w:rFonts w:hint="default"/>
      </w:rPr>
    </w:lvl>
    <w:lvl w:ilvl="5">
      <w:start w:val="0"/>
      <w:numFmt w:val="bullet"/>
      <w:lvlText w:val="•"/>
      <w:lvlJc w:val="left"/>
      <w:pPr>
        <w:ind w:left="2547" w:hanging="425"/>
      </w:pPr>
      <w:rPr>
        <w:rFonts w:hint="default"/>
      </w:rPr>
    </w:lvl>
    <w:lvl w:ilvl="6">
      <w:start w:val="0"/>
      <w:numFmt w:val="bullet"/>
      <w:lvlText w:val="•"/>
      <w:lvlJc w:val="left"/>
      <w:pPr>
        <w:ind w:left="4035" w:hanging="425"/>
      </w:pPr>
      <w:rPr>
        <w:rFonts w:hint="default"/>
      </w:rPr>
    </w:lvl>
    <w:lvl w:ilvl="7">
      <w:start w:val="0"/>
      <w:numFmt w:val="bullet"/>
      <w:lvlText w:val="•"/>
      <w:lvlJc w:val="left"/>
      <w:pPr>
        <w:ind w:left="5523" w:hanging="425"/>
      </w:pPr>
      <w:rPr>
        <w:rFonts w:hint="default"/>
      </w:rPr>
    </w:lvl>
    <w:lvl w:ilvl="8">
      <w:start w:val="0"/>
      <w:numFmt w:val="bullet"/>
      <w:lvlText w:val="•"/>
      <w:lvlJc w:val="left"/>
      <w:pPr>
        <w:ind w:left="7010" w:hanging="425"/>
      </w:pPr>
      <w:rPr>
        <w:rFonts w:hint="default"/>
      </w:rPr>
    </w:lvl>
  </w:abstractNum>
  <w:abstractNum w:abstractNumId="0">
    <w:multiLevelType w:val="hybridMultilevel"/>
    <w:lvl w:ilvl="0">
      <w:start w:val="1"/>
      <w:numFmt w:val="decimal"/>
      <w:lvlText w:val="%1"/>
      <w:lvlJc w:val="left"/>
      <w:pPr>
        <w:ind w:left="532" w:hanging="315"/>
        <w:jc w:val="left"/>
      </w:pPr>
      <w:rPr>
        <w:rFonts w:hint="default" w:ascii="宋体" w:hAnsi="宋体" w:eastAsia="宋体" w:cs="宋体"/>
        <w:b w:val="0"/>
        <w:bCs w:val="0"/>
        <w:i w:val="0"/>
        <w:iCs w:val="0"/>
        <w:w w:val="99"/>
        <w:sz w:val="21"/>
        <w:szCs w:val="21"/>
      </w:rPr>
    </w:lvl>
    <w:lvl w:ilvl="1">
      <w:start w:val="1"/>
      <w:numFmt w:val="decimal"/>
      <w:lvlText w:val="%1.%2"/>
      <w:lvlJc w:val="left"/>
      <w:pPr>
        <w:ind w:left="952" w:hanging="526"/>
        <w:jc w:val="left"/>
      </w:pPr>
      <w:rPr>
        <w:rFonts w:hint="default" w:ascii="宋体" w:hAnsi="宋体" w:eastAsia="宋体" w:cs="宋体"/>
        <w:b w:val="0"/>
        <w:bCs w:val="0"/>
        <w:i w:val="0"/>
        <w:iCs w:val="0"/>
        <w:spacing w:val="0"/>
        <w:w w:val="99"/>
        <w:sz w:val="21"/>
        <w:szCs w:val="21"/>
      </w:rPr>
    </w:lvl>
    <w:lvl w:ilvl="2">
      <w:start w:val="0"/>
      <w:numFmt w:val="bullet"/>
      <w:lvlText w:val="•"/>
      <w:lvlJc w:val="left"/>
      <w:pPr>
        <w:ind w:left="1962" w:hanging="526"/>
      </w:pPr>
      <w:rPr>
        <w:rFonts w:hint="default"/>
      </w:rPr>
    </w:lvl>
    <w:lvl w:ilvl="3">
      <w:start w:val="0"/>
      <w:numFmt w:val="bullet"/>
      <w:lvlText w:val="•"/>
      <w:lvlJc w:val="left"/>
      <w:pPr>
        <w:ind w:left="2965" w:hanging="526"/>
      </w:pPr>
      <w:rPr>
        <w:rFonts w:hint="default"/>
      </w:rPr>
    </w:lvl>
    <w:lvl w:ilvl="4">
      <w:start w:val="0"/>
      <w:numFmt w:val="bullet"/>
      <w:lvlText w:val="•"/>
      <w:lvlJc w:val="left"/>
      <w:pPr>
        <w:ind w:left="3968" w:hanging="526"/>
      </w:pPr>
      <w:rPr>
        <w:rFonts w:hint="default"/>
      </w:rPr>
    </w:lvl>
    <w:lvl w:ilvl="5">
      <w:start w:val="0"/>
      <w:numFmt w:val="bullet"/>
      <w:lvlText w:val="•"/>
      <w:lvlJc w:val="left"/>
      <w:pPr>
        <w:ind w:left="4971" w:hanging="526"/>
      </w:pPr>
      <w:rPr>
        <w:rFonts w:hint="default"/>
      </w:rPr>
    </w:lvl>
    <w:lvl w:ilvl="6">
      <w:start w:val="0"/>
      <w:numFmt w:val="bullet"/>
      <w:lvlText w:val="•"/>
      <w:lvlJc w:val="left"/>
      <w:pPr>
        <w:ind w:left="5974" w:hanging="526"/>
      </w:pPr>
      <w:rPr>
        <w:rFonts w:hint="default"/>
      </w:rPr>
    </w:lvl>
    <w:lvl w:ilvl="7">
      <w:start w:val="0"/>
      <w:numFmt w:val="bullet"/>
      <w:lvlText w:val="•"/>
      <w:lvlJc w:val="left"/>
      <w:pPr>
        <w:ind w:left="6977" w:hanging="526"/>
      </w:pPr>
      <w:rPr>
        <w:rFonts w:hint="default"/>
      </w:rPr>
    </w:lvl>
    <w:lvl w:ilvl="8">
      <w:start w:val="0"/>
      <w:numFmt w:val="bullet"/>
      <w:lvlText w:val="•"/>
      <w:lvlJc w:val="left"/>
      <w:pPr>
        <w:ind w:left="7980" w:hanging="526"/>
      </w:pPr>
      <w:rPr>
        <w:rFonts w:hint="default"/>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BodyText" w:type="paragraph">
    <w:name w:val="Body Text"/>
    <w:basedOn w:val="Normal"/>
    <w:uiPriority w:val="1"/>
    <w:qFormat/>
    <w:pPr/>
    <w:rPr>
      <w:rFonts w:ascii="宋体" w:hAnsi="宋体" w:eastAsia="宋体" w:cs="宋体"/>
      <w:sz w:val="21"/>
      <w:szCs w:val="21"/>
    </w:rPr>
  </w:style>
  <w:style w:styleId="Heading1" w:type="paragraph">
    <w:name w:val="Heading 1"/>
    <w:basedOn w:val="Normal"/>
    <w:uiPriority w:val="1"/>
    <w:qFormat/>
    <w:pPr>
      <w:spacing w:before="54"/>
      <w:jc w:val="center"/>
      <w:outlineLvl w:val="1"/>
    </w:pPr>
    <w:rPr>
      <w:rFonts w:ascii="黑体" w:hAnsi="黑体" w:eastAsia="黑体" w:cs="黑体"/>
      <w:sz w:val="32"/>
      <w:szCs w:val="32"/>
    </w:rPr>
  </w:style>
  <w:style w:styleId="Title" w:type="paragraph">
    <w:name w:val="Title"/>
    <w:basedOn w:val="Normal"/>
    <w:uiPriority w:val="1"/>
    <w:qFormat/>
    <w:pPr>
      <w:spacing w:before="28"/>
      <w:ind w:left="103"/>
    </w:pPr>
    <w:rPr>
      <w:rFonts w:ascii="宋体" w:hAnsi="宋体" w:eastAsia="宋体" w:cs="宋体"/>
      <w:b/>
      <w:bCs/>
      <w:sz w:val="52"/>
      <w:szCs w:val="52"/>
    </w:rPr>
  </w:style>
  <w:style w:styleId="ListParagraph" w:type="paragraph">
    <w:name w:val="List Paragraph"/>
    <w:basedOn w:val="Normal"/>
    <w:uiPriority w:val="1"/>
    <w:qFormat/>
    <w:pPr>
      <w:ind w:left="218"/>
    </w:pPr>
    <w:rPr>
      <w:rFonts w:ascii="宋体" w:hAnsi="宋体" w:eastAsia="宋体" w:cs="宋体"/>
    </w:rPr>
  </w:style>
  <w:style w:styleId="TableParagraph" w:type="paragraph">
    <w:name w:val="Table Paragraph"/>
    <w:basedOn w:val="Normal"/>
    <w:uiPriority w:val="1"/>
    <w:qFormat/>
    <w:pPr>
      <w:jc w:val="center"/>
    </w:pPr>
    <w:rPr>
      <w:rFonts w:ascii="宋体" w:hAnsi="宋体" w:eastAsia="宋体" w:cs="宋体"/>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image3.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国家标准</dc:title>
  <dcterms:created xsi:type="dcterms:W3CDTF">2025-09-24T08:41:27Z</dcterms:created>
  <dcterms:modified xsi:type="dcterms:W3CDTF">2025-09-24T08:41:27Z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WPS 文字</vt:lpwstr>
  </property>
  <property fmtid="{D5CDD505-2E9C-101B-9397-08002B2CF9AE}" pid="4" name="LastSaved">
    <vt:filetime>2025-09-24T00:00:00Z</vt:filetime>
  </property>
</Properties>
</file>